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7A0493" w:rsidRDefault="00C73B8B" w:rsidP="00C73B8B">
                <w:pPr>
                  <w:rPr>
                    <w:rFonts w:ascii="Arial (W1)" w:hAnsi="Arial (W1)"/>
                    <w:b/>
                    <w:bCs/>
                    <w:noProof w:val="0"/>
                    <w:sz w:val="28"/>
                    <w:szCs w:val="28"/>
                  </w:rPr>
                </w:pPr>
                <w:r>
                  <w:rPr>
                    <w:rFonts w:hint="cs"/>
                    <w:b/>
                    <w:bCs/>
                    <w:noProof w:val="0"/>
                    <w:sz w:val="28"/>
                    <w:rtl/>
                  </w:rPr>
                  <w:t>תובעת</w:t>
                </w:r>
              </w:p>
            </w:sdtContent>
          </w:sdt>
        </w:tc>
        <w:tc>
          <w:tcPr>
            <w:tcW w:w="5571" w:type="dxa"/>
          </w:tcPr>
          <w:p w:rsidR="00C73B8B" w:rsidRDefault="00A20B9E">
            <w:pPr>
              <w:rPr>
                <w:b/>
                <w:bCs/>
                <w:noProof w:val="0"/>
                <w:sz w:val="28"/>
                <w:rtl/>
              </w:rPr>
            </w:pPr>
            <w:r>
              <w:rPr>
                <w:rFonts w:hint="cs"/>
                <w:b/>
                <w:bCs/>
                <w:noProof w:val="0"/>
                <w:sz w:val="28"/>
                <w:rtl/>
              </w:rPr>
              <w:t>פלונית</w:t>
            </w:r>
            <w:r w:rsidR="00E44DDF">
              <w:rPr>
                <w:rFonts w:hint="cs"/>
                <w:b/>
                <w:bCs/>
                <w:noProof w:val="0"/>
                <w:sz w:val="28"/>
                <w:rtl/>
              </w:rPr>
              <w:t xml:space="preserve"> </w:t>
            </w:r>
          </w:p>
          <w:p w:rsidR="006816EC" w:rsidRDefault="00E44DDF">
            <w:pPr>
              <w:rPr>
                <w:rFonts w:ascii="Arial (W1)" w:hAnsi="Arial (W1)"/>
                <w:b/>
                <w:bCs/>
                <w:noProof w:val="0"/>
                <w:sz w:val="28"/>
                <w:szCs w:val="28"/>
              </w:rPr>
            </w:pPr>
            <w:r w:rsidRPr="00C73B8B">
              <w:rPr>
                <w:rFonts w:ascii="Arial" w:hAnsi="Arial"/>
                <w:b/>
                <w:bCs/>
                <w:noProof w:val="0"/>
                <w:rtl/>
              </w:rPr>
              <w:t>ע"י ב"כ עוה"ד</w:t>
            </w:r>
            <w:r w:rsidR="00C73B8B" w:rsidRPr="00C73B8B">
              <w:rPr>
                <w:rFonts w:ascii="Arial (W1)" w:hAnsi="Arial (W1)" w:hint="cs"/>
                <w:b/>
                <w:bCs/>
                <w:noProof w:val="0"/>
                <w:sz w:val="26"/>
                <w:rtl/>
              </w:rPr>
              <w:t xml:space="preserve"> שגית שאמי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727186">
            <w:pPr>
              <w:rPr>
                <w:rFonts w:ascii="Arial (W1)" w:hAnsi="Arial (W1)"/>
                <w:b/>
                <w:bCs/>
                <w:noProof w:val="0"/>
                <w:sz w:val="28"/>
                <w:szCs w:val="28"/>
              </w:rPr>
            </w:pPr>
            <w:sdt>
              <w:sdtPr>
                <w:rPr>
                  <w:rFonts w:hint="cs"/>
                  <w:rtl/>
                </w:rPr>
                <w:alias w:val="1184"/>
                <w:tag w:val="1184"/>
                <w:id w:val="-910234160"/>
                <w:text w:multiLine="1"/>
              </w:sdtPr>
              <w:sdtEndPr/>
              <w:sdtContent>
                <w:r w:rsidR="00C73B8B">
                  <w:rPr>
                    <w:rFonts w:hint="cs"/>
                    <w:b/>
                    <w:bCs/>
                    <w:noProof w:val="0"/>
                    <w:sz w:val="28"/>
                    <w:rtl/>
                  </w:rPr>
                  <w:t>נתבע</w:t>
                </w:r>
              </w:sdtContent>
            </w:sdt>
          </w:p>
        </w:tc>
        <w:tc>
          <w:tcPr>
            <w:tcW w:w="5571" w:type="dxa"/>
          </w:tcPr>
          <w:p w:rsidR="00C73B8B" w:rsidRDefault="00A20B9E">
            <w:pPr>
              <w:rPr>
                <w:rFonts w:ascii="Arial" w:hAnsi="Arial"/>
                <w:b/>
                <w:bCs/>
                <w:noProof w:val="0"/>
                <w:sz w:val="26"/>
                <w:szCs w:val="26"/>
                <w:rtl/>
              </w:rPr>
            </w:pPr>
            <w:r>
              <w:rPr>
                <w:rFonts w:hint="cs"/>
                <w:b/>
                <w:bCs/>
                <w:noProof w:val="0"/>
                <w:sz w:val="28"/>
                <w:rtl/>
              </w:rPr>
              <w:t>פלוני</w:t>
            </w:r>
            <w:r w:rsidR="00E44DDF">
              <w:rPr>
                <w:rFonts w:hint="cs"/>
                <w:rtl/>
              </w:rPr>
              <w:t xml:space="preserve"> </w:t>
            </w:r>
          </w:p>
          <w:p w:rsidR="006816EC" w:rsidRDefault="00E44DDF">
            <w:pPr>
              <w:rPr>
                <w:rFonts w:ascii="Arial (W1)" w:hAnsi="Arial (W1)"/>
                <w:b/>
                <w:bCs/>
                <w:noProof w:val="0"/>
                <w:sz w:val="28"/>
                <w:szCs w:val="28"/>
              </w:rPr>
            </w:pPr>
            <w:r w:rsidRPr="00C73B8B">
              <w:rPr>
                <w:rFonts w:ascii="Arial" w:hAnsi="Arial"/>
                <w:b/>
                <w:bCs/>
                <w:noProof w:val="0"/>
                <w:rtl/>
              </w:rPr>
              <w:t>ע"י ב"כ עוה"ד</w:t>
            </w:r>
            <w:r w:rsidR="00C73B8B" w:rsidRPr="00C73B8B">
              <w:rPr>
                <w:rFonts w:ascii="Arial (W1)" w:hAnsi="Arial (W1)" w:hint="cs"/>
                <w:b/>
                <w:bCs/>
                <w:noProof w:val="0"/>
                <w:sz w:val="26"/>
                <w:rtl/>
              </w:rPr>
              <w:t xml:space="preserve"> שרית כהן</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C73B8B">
              <w:rPr>
                <w:rFonts w:ascii="Arial" w:hAnsi="Arial" w:hint="cs"/>
                <w:b/>
                <w:bCs/>
                <w:noProof w:val="0"/>
                <w:sz w:val="28"/>
                <w:szCs w:val="28"/>
                <w:u w:val="single"/>
                <w:rtl/>
              </w:rPr>
              <w:t xml:space="preserve"> משלים</w:t>
            </w:r>
          </w:p>
        </w:tc>
      </w:tr>
    </w:tbl>
    <w:p w:rsidR="00694556" w:rsidRDefault="00694556">
      <w:pPr>
        <w:spacing w:line="360" w:lineRule="auto"/>
        <w:jc w:val="both"/>
        <w:rPr>
          <w:rFonts w:ascii="Arial" w:hAnsi="Arial" w:hint="cs"/>
          <w:noProof w:val="0"/>
          <w:rtl/>
        </w:rPr>
      </w:pPr>
    </w:p>
    <w:p w:rsidR="00AB51BD" w:rsidRDefault="00C73B8B" w:rsidP="00AB51BD">
      <w:pPr>
        <w:spacing w:after="240" w:line="360" w:lineRule="auto"/>
        <w:jc w:val="both"/>
        <w:rPr>
          <w:rFonts w:ascii="David" w:hAnsi="David"/>
          <w:b/>
          <w:bCs/>
          <w:rtl/>
        </w:rPr>
      </w:pPr>
      <w:r>
        <w:rPr>
          <w:rFonts w:ascii="David" w:hAnsi="David"/>
          <w:b/>
          <w:bCs/>
          <w:rtl/>
        </w:rPr>
        <w:t>עניינה של תביעה זו איזון משאבים כולל בין הצדדים אגב פרידתם. ביום 18.6.2024 התקיים דיון בפני מותב זה וב</w:t>
      </w:r>
      <w:r w:rsidR="00AB51BD">
        <w:rPr>
          <w:rFonts w:ascii="David" w:hAnsi="David" w:hint="cs"/>
          <w:b/>
          <w:bCs/>
          <w:rtl/>
        </w:rPr>
        <w:t>מהלכ</w:t>
      </w:r>
      <w:r>
        <w:rPr>
          <w:rFonts w:ascii="David" w:hAnsi="David"/>
          <w:b/>
          <w:bCs/>
          <w:rtl/>
        </w:rPr>
        <w:t xml:space="preserve">ו </w:t>
      </w:r>
      <w:r w:rsidR="00AB51BD">
        <w:rPr>
          <w:rFonts w:ascii="David" w:hAnsi="David" w:hint="cs"/>
          <w:b/>
          <w:bCs/>
          <w:rtl/>
        </w:rPr>
        <w:t>גובשו ואושרו הסכמות במרבית המחלוקות</w:t>
      </w:r>
      <w:r w:rsidR="00AB51BD" w:rsidRPr="00AB51BD">
        <w:rPr>
          <w:rFonts w:ascii="David" w:hAnsi="David" w:hint="cs"/>
          <w:b/>
          <w:bCs/>
          <w:rtl/>
        </w:rPr>
        <w:t xml:space="preserve"> </w:t>
      </w:r>
      <w:r w:rsidR="00AB51BD">
        <w:rPr>
          <w:rFonts w:ascii="David" w:hAnsi="David" w:hint="cs"/>
          <w:b/>
          <w:bCs/>
          <w:rtl/>
        </w:rPr>
        <w:t>ואף נחתמו הפסיקתאות שנערכו ע"י האקטואר.</w:t>
      </w:r>
    </w:p>
    <w:p w:rsidR="00CA6349" w:rsidRDefault="00CA6349" w:rsidP="00AB51BD">
      <w:pPr>
        <w:spacing w:after="240" w:line="360" w:lineRule="auto"/>
        <w:jc w:val="both"/>
        <w:rPr>
          <w:rFonts w:ascii="David" w:hAnsi="David"/>
          <w:b/>
          <w:bCs/>
          <w:rtl/>
        </w:rPr>
      </w:pPr>
      <w:r>
        <w:rPr>
          <w:rFonts w:ascii="David" w:hAnsi="David"/>
          <w:b/>
          <w:bCs/>
          <w:rtl/>
        </w:rPr>
        <w:t xml:space="preserve">בדיון </w:t>
      </w:r>
      <w:r>
        <w:rPr>
          <w:rFonts w:ascii="David" w:hAnsi="David" w:hint="cs"/>
          <w:b/>
          <w:bCs/>
          <w:rtl/>
        </w:rPr>
        <w:t xml:space="preserve">במעמד הצדדים ובאות כוחם, אושר </w:t>
      </w:r>
      <w:r>
        <w:rPr>
          <w:rFonts w:ascii="David" w:hAnsi="David"/>
          <w:b/>
          <w:bCs/>
          <w:rtl/>
        </w:rPr>
        <w:t xml:space="preserve">מתווה דיוני </w:t>
      </w:r>
      <w:r w:rsidR="001B1423">
        <w:rPr>
          <w:rFonts w:ascii="David" w:hAnsi="David" w:hint="cs"/>
          <w:b/>
          <w:bCs/>
          <w:rtl/>
        </w:rPr>
        <w:t xml:space="preserve">מוסכם, </w:t>
      </w:r>
      <w:r>
        <w:rPr>
          <w:rFonts w:ascii="David" w:hAnsi="David"/>
          <w:b/>
          <w:bCs/>
          <w:rtl/>
        </w:rPr>
        <w:t>לפיו יינתן פסק דין</w:t>
      </w:r>
      <w:r w:rsidR="001B1423">
        <w:rPr>
          <w:rFonts w:ascii="David" w:hAnsi="David" w:hint="cs"/>
          <w:b/>
          <w:bCs/>
          <w:rtl/>
        </w:rPr>
        <w:t xml:space="preserve"> המכריע ב</w:t>
      </w:r>
      <w:r w:rsidR="00AB51BD">
        <w:rPr>
          <w:rFonts w:ascii="David" w:hAnsi="David" w:hint="cs"/>
          <w:b/>
          <w:bCs/>
          <w:rtl/>
        </w:rPr>
        <w:t xml:space="preserve">שתי </w:t>
      </w:r>
      <w:r w:rsidR="001B1423">
        <w:rPr>
          <w:rFonts w:ascii="David" w:hAnsi="David" w:hint="cs"/>
          <w:b/>
          <w:bCs/>
          <w:rtl/>
        </w:rPr>
        <w:t xml:space="preserve">סוגיות שנותרו במחלוקת, </w:t>
      </w:r>
      <w:r>
        <w:rPr>
          <w:rFonts w:ascii="David" w:hAnsi="David"/>
          <w:b/>
          <w:bCs/>
          <w:rtl/>
        </w:rPr>
        <w:t xml:space="preserve">על יסוד החומר המצוי בתיק, לאחר שיגישו הצדדים טיעוניהם בכתב. </w:t>
      </w:r>
    </w:p>
    <w:p w:rsidR="00CA6349" w:rsidRDefault="00CA6349" w:rsidP="00CA6349">
      <w:pPr>
        <w:spacing w:after="240" w:line="360" w:lineRule="auto"/>
        <w:jc w:val="both"/>
        <w:rPr>
          <w:rFonts w:ascii="David" w:hAnsi="David"/>
          <w:b/>
          <w:bCs/>
          <w:rtl/>
        </w:rPr>
      </w:pPr>
      <w:r>
        <w:rPr>
          <w:rFonts w:ascii="David" w:hAnsi="David" w:hint="cs"/>
          <w:b/>
          <w:bCs/>
          <w:rtl/>
        </w:rPr>
        <w:t>שתי הסוגיות שנותרו במחלוקת:</w:t>
      </w:r>
    </w:p>
    <w:p w:rsidR="00CA6349" w:rsidRDefault="00CA6349" w:rsidP="001B1423">
      <w:pPr>
        <w:spacing w:after="240" w:line="360" w:lineRule="auto"/>
        <w:jc w:val="both"/>
        <w:rPr>
          <w:rFonts w:ascii="David" w:hAnsi="David"/>
          <w:b/>
          <w:bCs/>
          <w:rtl/>
        </w:rPr>
      </w:pPr>
      <w:r>
        <w:rPr>
          <w:rFonts w:ascii="David" w:hAnsi="David" w:hint="cs"/>
          <w:b/>
          <w:bCs/>
          <w:rtl/>
        </w:rPr>
        <w:t>א.</w:t>
      </w:r>
      <w:r>
        <w:rPr>
          <w:rFonts w:ascii="David" w:hAnsi="David"/>
          <w:b/>
          <w:bCs/>
          <w:rtl/>
        </w:rPr>
        <w:tab/>
      </w:r>
      <w:r>
        <w:rPr>
          <w:rFonts w:ascii="David" w:hAnsi="David" w:hint="cs"/>
          <w:b/>
          <w:bCs/>
          <w:rtl/>
        </w:rPr>
        <w:t xml:space="preserve">שאלת איזון </w:t>
      </w:r>
      <w:r w:rsidR="00C73B8B">
        <w:rPr>
          <w:rFonts w:ascii="David" w:hAnsi="David"/>
          <w:b/>
          <w:bCs/>
          <w:rtl/>
        </w:rPr>
        <w:t>גמל</w:t>
      </w:r>
      <w:r>
        <w:rPr>
          <w:rFonts w:ascii="David" w:hAnsi="David"/>
          <w:b/>
          <w:bCs/>
          <w:rtl/>
        </w:rPr>
        <w:t xml:space="preserve">ת נכות שקיבל </w:t>
      </w:r>
      <w:r w:rsidR="00676870">
        <w:rPr>
          <w:rFonts w:ascii="David" w:hAnsi="David"/>
          <w:b/>
          <w:bCs/>
          <w:rtl/>
        </w:rPr>
        <w:t>הנתבע</w:t>
      </w:r>
      <w:r>
        <w:rPr>
          <w:rFonts w:ascii="David" w:hAnsi="David"/>
          <w:b/>
          <w:bCs/>
          <w:rtl/>
        </w:rPr>
        <w:t xml:space="preserve"> </w:t>
      </w:r>
      <w:r w:rsidR="001B1423">
        <w:rPr>
          <w:rFonts w:ascii="David" w:hAnsi="David" w:hint="cs"/>
          <w:b/>
          <w:bCs/>
          <w:rtl/>
        </w:rPr>
        <w:t>מהמל"ל ע"ס</w:t>
      </w:r>
      <w:r>
        <w:rPr>
          <w:rFonts w:ascii="David" w:hAnsi="David"/>
          <w:b/>
          <w:bCs/>
          <w:rtl/>
        </w:rPr>
        <w:t xml:space="preserve"> 393,501 ₪</w:t>
      </w:r>
      <w:r w:rsidR="00D50BD6">
        <w:rPr>
          <w:rFonts w:ascii="David" w:hAnsi="David" w:hint="cs"/>
          <w:b/>
          <w:bCs/>
          <w:rtl/>
        </w:rPr>
        <w:t xml:space="preserve"> </w:t>
      </w:r>
      <w:r>
        <w:rPr>
          <w:rFonts w:ascii="David" w:hAnsi="David" w:hint="cs"/>
          <w:b/>
          <w:bCs/>
          <w:rtl/>
        </w:rPr>
        <w:t>.</w:t>
      </w:r>
    </w:p>
    <w:p w:rsidR="00C73B8B" w:rsidRDefault="00CA6349" w:rsidP="001B1423">
      <w:pPr>
        <w:spacing w:after="240" w:line="360" w:lineRule="auto"/>
        <w:jc w:val="both"/>
        <w:rPr>
          <w:rFonts w:ascii="David" w:hAnsi="David"/>
          <w:b/>
          <w:bCs/>
          <w:noProof w:val="0"/>
        </w:rPr>
      </w:pPr>
      <w:r>
        <w:rPr>
          <w:rFonts w:ascii="David" w:hAnsi="David" w:hint="cs"/>
          <w:b/>
          <w:bCs/>
          <w:rtl/>
        </w:rPr>
        <w:t>ב.</w:t>
      </w:r>
      <w:r>
        <w:rPr>
          <w:rFonts w:ascii="David" w:hAnsi="David"/>
          <w:b/>
          <w:bCs/>
          <w:rtl/>
        </w:rPr>
        <w:tab/>
      </w:r>
      <w:r>
        <w:rPr>
          <w:rFonts w:ascii="David" w:hAnsi="David" w:hint="cs"/>
          <w:b/>
          <w:bCs/>
          <w:rtl/>
        </w:rPr>
        <w:t xml:space="preserve">שאלת </w:t>
      </w:r>
      <w:r w:rsidR="00C73B8B">
        <w:rPr>
          <w:rFonts w:ascii="David" w:hAnsi="David"/>
          <w:b/>
          <w:bCs/>
          <w:rtl/>
        </w:rPr>
        <w:t xml:space="preserve">איזון פיצויים שקיבלה </w:t>
      </w:r>
      <w:r w:rsidR="00676870">
        <w:rPr>
          <w:rFonts w:ascii="David" w:hAnsi="David"/>
          <w:b/>
          <w:bCs/>
          <w:rtl/>
        </w:rPr>
        <w:t>התובעת</w:t>
      </w:r>
      <w:r w:rsidR="00C73B8B">
        <w:rPr>
          <w:rFonts w:ascii="David" w:hAnsi="David"/>
          <w:b/>
          <w:bCs/>
          <w:rtl/>
        </w:rPr>
        <w:t xml:space="preserve"> עקב תאונת דרכים </w:t>
      </w:r>
      <w:r w:rsidR="001B1423">
        <w:rPr>
          <w:rFonts w:ascii="David" w:hAnsi="David" w:hint="cs"/>
          <w:b/>
          <w:bCs/>
          <w:rtl/>
        </w:rPr>
        <w:t>ע"ס</w:t>
      </w:r>
      <w:r w:rsidR="00C73B8B">
        <w:rPr>
          <w:rFonts w:ascii="David" w:hAnsi="David"/>
          <w:b/>
          <w:bCs/>
          <w:rtl/>
        </w:rPr>
        <w:t xml:space="preserve"> 98,831 ₪. </w:t>
      </w:r>
    </w:p>
    <w:p w:rsidR="001B1423" w:rsidRPr="00AB51BD" w:rsidRDefault="001B1423" w:rsidP="00C73B8B">
      <w:pPr>
        <w:spacing w:after="240" w:line="360" w:lineRule="auto"/>
        <w:jc w:val="both"/>
        <w:rPr>
          <w:rFonts w:ascii="David" w:hAnsi="David"/>
          <w:b/>
          <w:bCs/>
          <w:u w:val="single"/>
          <w:rtl/>
        </w:rPr>
      </w:pPr>
      <w:r w:rsidRPr="00AB51BD">
        <w:rPr>
          <w:rFonts w:ascii="David" w:hAnsi="David" w:hint="cs"/>
          <w:b/>
          <w:bCs/>
          <w:u w:val="single"/>
          <w:rtl/>
        </w:rPr>
        <w:t>דיון והכרעה</w:t>
      </w:r>
    </w:p>
    <w:p w:rsidR="00B34294" w:rsidRDefault="00B34294" w:rsidP="0032017E">
      <w:pPr>
        <w:pStyle w:val="ad"/>
        <w:numPr>
          <w:ilvl w:val="0"/>
          <w:numId w:val="1"/>
        </w:numPr>
        <w:spacing w:after="240" w:line="360" w:lineRule="auto"/>
        <w:ind w:left="357" w:hanging="357"/>
        <w:contextualSpacing w:val="0"/>
        <w:jc w:val="both"/>
        <w:rPr>
          <w:rFonts w:ascii="David" w:hAnsi="David" w:cs="David"/>
          <w:sz w:val="24"/>
          <w:szCs w:val="24"/>
        </w:rPr>
      </w:pPr>
      <w:r>
        <w:rPr>
          <w:rFonts w:ascii="David" w:hAnsi="David" w:cs="David"/>
          <w:sz w:val="24"/>
          <w:szCs w:val="24"/>
          <w:rtl/>
        </w:rPr>
        <w:t>בני הזוג נישאו זל"ז בשנת 2002, ומשכך חל על הצדדים הסדר איזון משאבים הקבוע בחוק יחסי ממון בין בני זוג, תשל"ג – 1973 (להלן: "</w:t>
      </w:r>
      <w:r>
        <w:rPr>
          <w:rFonts w:ascii="David" w:hAnsi="David" w:cs="David"/>
          <w:b/>
          <w:bCs/>
          <w:sz w:val="24"/>
          <w:szCs w:val="24"/>
          <w:rtl/>
        </w:rPr>
        <w:t>חוק יחסי ממון</w:t>
      </w:r>
      <w:r>
        <w:rPr>
          <w:rFonts w:ascii="David" w:hAnsi="David" w:cs="David"/>
          <w:sz w:val="24"/>
          <w:szCs w:val="24"/>
          <w:rtl/>
        </w:rPr>
        <w:t xml:space="preserve">"). הוראת סעיף 5(א)(2) לחוק יחסי ממון קובעת כי גמלה המשתלמת לאחד מבני הזוג על-ידי המוסד לביטוח לאומי, או גמלה או פיצוי שנפסקו או המגיעים על פי חיקוק לאחד מבני-הזוג בשל נזק גוף, או מוות לא </w:t>
      </w:r>
      <w:r w:rsidR="0032017E">
        <w:rPr>
          <w:rFonts w:ascii="David" w:hAnsi="David" w:cs="David" w:hint="cs"/>
          <w:sz w:val="24"/>
          <w:szCs w:val="24"/>
          <w:rtl/>
        </w:rPr>
        <w:t xml:space="preserve">תאוזן בין בני הזוג </w:t>
      </w:r>
      <w:r>
        <w:rPr>
          <w:rFonts w:ascii="David" w:hAnsi="David" w:cs="David"/>
          <w:sz w:val="24"/>
          <w:szCs w:val="24"/>
          <w:rtl/>
        </w:rPr>
        <w:t>ב</w:t>
      </w:r>
      <w:r w:rsidR="0032017E">
        <w:rPr>
          <w:rFonts w:ascii="David" w:hAnsi="David" w:cs="David" w:hint="cs"/>
          <w:sz w:val="24"/>
          <w:szCs w:val="24"/>
          <w:rtl/>
        </w:rPr>
        <w:t xml:space="preserve">עת </w:t>
      </w:r>
      <w:r>
        <w:rPr>
          <w:rFonts w:ascii="David" w:hAnsi="David" w:cs="David"/>
          <w:sz w:val="24"/>
          <w:szCs w:val="24"/>
        </w:rPr>
        <w:t xml:space="preserve"> </w:t>
      </w:r>
      <w:r>
        <w:rPr>
          <w:rFonts w:ascii="David" w:hAnsi="David" w:cs="David"/>
          <w:sz w:val="24"/>
          <w:szCs w:val="24"/>
          <w:rtl/>
        </w:rPr>
        <w:t xml:space="preserve">פקיעת הנישואין. </w:t>
      </w:r>
    </w:p>
    <w:p w:rsidR="0032017E" w:rsidRPr="0032017E" w:rsidRDefault="0032017E" w:rsidP="00B34294">
      <w:pPr>
        <w:pStyle w:val="ad"/>
        <w:numPr>
          <w:ilvl w:val="0"/>
          <w:numId w:val="1"/>
        </w:numPr>
        <w:spacing w:after="240" w:line="360" w:lineRule="auto"/>
        <w:ind w:left="357" w:hanging="357"/>
        <w:contextualSpacing w:val="0"/>
        <w:jc w:val="both"/>
        <w:rPr>
          <w:rFonts w:ascii="David" w:hAnsi="David" w:cs="David"/>
          <w:b/>
          <w:bCs/>
          <w:sz w:val="24"/>
          <w:szCs w:val="24"/>
        </w:rPr>
      </w:pPr>
      <w:r>
        <w:rPr>
          <w:rFonts w:ascii="David" w:hAnsi="David" w:cs="David" w:hint="cs"/>
          <w:sz w:val="24"/>
          <w:szCs w:val="24"/>
          <w:rtl/>
        </w:rPr>
        <w:t xml:space="preserve">ראו לענין זה פסק דינו של כב' השופט דרורי </w:t>
      </w:r>
      <w:r w:rsidR="00B34294" w:rsidRPr="00676870">
        <w:rPr>
          <w:rFonts w:ascii="David" w:hAnsi="David" w:cs="David"/>
          <w:sz w:val="24"/>
          <w:szCs w:val="24"/>
          <w:rtl/>
        </w:rPr>
        <w:t>בע"מ (י-ם) 821/05</w:t>
      </w:r>
      <w:r w:rsidR="00B34294" w:rsidRPr="00676870">
        <w:rPr>
          <w:rFonts w:ascii="David" w:hAnsi="David" w:cs="David"/>
          <w:b/>
          <w:bCs/>
          <w:sz w:val="24"/>
          <w:szCs w:val="24"/>
          <w:rtl/>
        </w:rPr>
        <w:t xml:space="preserve"> ש.א. נ' ש.ג.</w:t>
      </w:r>
      <w:r w:rsidR="00B34294">
        <w:rPr>
          <w:rFonts w:ascii="David" w:hAnsi="David" w:cs="David"/>
          <w:sz w:val="24"/>
          <w:szCs w:val="24"/>
          <w:rtl/>
        </w:rPr>
        <w:t xml:space="preserve"> [פורסם בנבו] </w:t>
      </w:r>
      <w:r>
        <w:rPr>
          <w:rFonts w:ascii="David" w:hAnsi="David" w:cs="David" w:hint="cs"/>
          <w:sz w:val="24"/>
          <w:szCs w:val="24"/>
          <w:rtl/>
        </w:rPr>
        <w:t>:</w:t>
      </w:r>
    </w:p>
    <w:p w:rsidR="00B34294" w:rsidRPr="0032017E" w:rsidRDefault="00B34294" w:rsidP="00B34294">
      <w:pPr>
        <w:spacing w:after="240" w:line="360" w:lineRule="auto"/>
        <w:ind w:left="720" w:hanging="363"/>
        <w:jc w:val="both"/>
        <w:rPr>
          <w:rFonts w:ascii="David" w:hAnsi="David"/>
          <w:b/>
          <w:bCs/>
          <w:rtl/>
        </w:rPr>
      </w:pPr>
      <w:r w:rsidRPr="0032017E">
        <w:rPr>
          <w:rFonts w:ascii="David" w:hAnsi="David"/>
          <w:b/>
          <w:bCs/>
          <w:rtl/>
        </w:rPr>
        <w:t xml:space="preserve">" </w:t>
      </w:r>
      <w:r w:rsidRPr="0032017E">
        <w:rPr>
          <w:rFonts w:ascii="David" w:hAnsi="David"/>
          <w:b/>
          <w:bCs/>
          <w:rtl/>
        </w:rPr>
        <w:tab/>
        <w:t xml:space="preserve">ככל שמדובר בקצבה המשולמת עקב מוות או נכות, יש להתייחס אליה באופן הבא: לכתחילה, קצבה זו נועדה למי שמקבל אותה, ולא לבן זוגו, כי היא משקפת כאב או סבל שעבר אותו בן זוג המקבל את הגמלה. ברם, אם הגמלה היא תמורת אובדן הכנסה, יש לראות בגמלה כחלק מהכנסות בני הזוג, והן משותפות. כמו כן, כאשר נכנסת הגמלה לחשבון הבנק המשותף ומשמשת לצורכי הצדדים, ניתן לראות בכך הסכמה לכך שהיא חלק מן הרכוש המשותף של בני הזוג" </w:t>
      </w:r>
    </w:p>
    <w:p w:rsidR="00B34294" w:rsidRDefault="0032017E" w:rsidP="0061611D">
      <w:pPr>
        <w:pStyle w:val="ad"/>
        <w:numPr>
          <w:ilvl w:val="0"/>
          <w:numId w:val="1"/>
        </w:numPr>
        <w:spacing w:after="240" w:line="360" w:lineRule="auto"/>
        <w:ind w:hanging="720"/>
        <w:contextualSpacing w:val="0"/>
        <w:jc w:val="both"/>
        <w:rPr>
          <w:rFonts w:ascii="David" w:hAnsi="David" w:cs="David"/>
          <w:sz w:val="24"/>
          <w:szCs w:val="24"/>
        </w:rPr>
      </w:pPr>
      <w:r>
        <w:rPr>
          <w:rFonts w:ascii="David" w:hAnsi="David" w:cs="David" w:hint="cs"/>
          <w:sz w:val="24"/>
          <w:szCs w:val="24"/>
          <w:rtl/>
        </w:rPr>
        <w:lastRenderedPageBreak/>
        <w:t xml:space="preserve">אמנם, בשורת פסקי דין נקבע כי יש חריגים לכלל זה, </w:t>
      </w:r>
      <w:r w:rsidR="0061611D">
        <w:rPr>
          <w:rFonts w:ascii="David" w:hAnsi="David" w:cs="David" w:hint="cs"/>
          <w:sz w:val="24"/>
          <w:szCs w:val="24"/>
          <w:rtl/>
        </w:rPr>
        <w:t xml:space="preserve">אך </w:t>
      </w:r>
      <w:r w:rsidR="00B34294">
        <w:rPr>
          <w:rFonts w:ascii="David" w:hAnsi="David" w:cs="David"/>
          <w:sz w:val="24"/>
          <w:szCs w:val="24"/>
          <w:rtl/>
        </w:rPr>
        <w:t xml:space="preserve">החריגים מתייחסים למקרים בהם הגמלה מהווה מקור הכנסה עיקרי למחיית המשפחה, או </w:t>
      </w:r>
      <w:r w:rsidR="0061611D">
        <w:rPr>
          <w:rFonts w:ascii="David" w:hAnsi="David" w:cs="David"/>
          <w:sz w:val="24"/>
          <w:szCs w:val="24"/>
          <w:rtl/>
        </w:rPr>
        <w:t>כ</w:t>
      </w:r>
      <w:r w:rsidR="0061611D">
        <w:rPr>
          <w:rFonts w:ascii="David" w:hAnsi="David" w:cs="David" w:hint="cs"/>
          <w:sz w:val="24"/>
          <w:szCs w:val="24"/>
          <w:rtl/>
        </w:rPr>
        <w:t xml:space="preserve">אשר </w:t>
      </w:r>
      <w:r w:rsidR="0061611D">
        <w:rPr>
          <w:rFonts w:ascii="David" w:hAnsi="David" w:cs="David"/>
          <w:sz w:val="24"/>
          <w:szCs w:val="24"/>
          <w:rtl/>
        </w:rPr>
        <w:t>מדובר בפיצוי על אובדן השתכרות</w:t>
      </w:r>
      <w:r w:rsidR="0061611D">
        <w:rPr>
          <w:rFonts w:ascii="David" w:hAnsi="David" w:cs="David" w:hint="cs"/>
          <w:sz w:val="24"/>
          <w:szCs w:val="24"/>
          <w:rtl/>
        </w:rPr>
        <w:t xml:space="preserve">, </w:t>
      </w:r>
      <w:r w:rsidR="00B34294">
        <w:rPr>
          <w:rFonts w:ascii="David" w:hAnsi="David" w:cs="David"/>
          <w:sz w:val="24"/>
          <w:szCs w:val="24"/>
          <w:rtl/>
        </w:rPr>
        <w:t>או כאשר נעשה שימוש בכספים לצרכי המשפחה באופן קבוע וסדיר, באופן המלמד על כוונת שיתוף ועל היות הכספים בני איזון</w:t>
      </w:r>
      <w:r w:rsidR="00B34294">
        <w:rPr>
          <w:rFonts w:ascii="David" w:hAnsi="David" w:cs="David"/>
          <w:sz w:val="24"/>
          <w:szCs w:val="24"/>
        </w:rPr>
        <w:t>.</w:t>
      </w:r>
      <w:r w:rsidR="00B34294">
        <w:rPr>
          <w:rFonts w:ascii="David" w:hAnsi="David" w:cs="David"/>
          <w:sz w:val="24"/>
          <w:szCs w:val="24"/>
          <w:rtl/>
        </w:rPr>
        <w:t xml:space="preserve"> </w:t>
      </w:r>
    </w:p>
    <w:p w:rsidR="00C73B8B" w:rsidRDefault="00C73B8B" w:rsidP="00C73B8B">
      <w:pPr>
        <w:spacing w:after="240" w:line="360" w:lineRule="auto"/>
        <w:jc w:val="both"/>
        <w:rPr>
          <w:rFonts w:ascii="David" w:hAnsi="David"/>
          <w:u w:val="single"/>
          <w:rtl/>
        </w:rPr>
      </w:pPr>
      <w:r>
        <w:rPr>
          <w:rFonts w:ascii="David" w:hAnsi="David"/>
          <w:u w:val="single"/>
          <w:rtl/>
        </w:rPr>
        <w:t xml:space="preserve">גמלת הנכות של </w:t>
      </w:r>
      <w:r w:rsidR="00676870">
        <w:rPr>
          <w:rFonts w:ascii="David" w:hAnsi="David"/>
          <w:u w:val="single"/>
          <w:rtl/>
        </w:rPr>
        <w:t>הנתבע</w:t>
      </w:r>
      <w:r>
        <w:rPr>
          <w:rFonts w:ascii="David" w:hAnsi="David"/>
          <w:u w:val="single"/>
          <w:rtl/>
        </w:rPr>
        <w:t>:</w:t>
      </w:r>
    </w:p>
    <w:p w:rsidR="00C73B8B" w:rsidRDefault="00C73B8B" w:rsidP="00676870">
      <w:pPr>
        <w:pStyle w:val="ad"/>
        <w:numPr>
          <w:ilvl w:val="0"/>
          <w:numId w:val="1"/>
        </w:numPr>
        <w:spacing w:after="240" w:line="360" w:lineRule="auto"/>
        <w:ind w:left="284" w:hanging="284"/>
        <w:contextualSpacing w:val="0"/>
        <w:jc w:val="both"/>
        <w:rPr>
          <w:rFonts w:ascii="David" w:hAnsi="David" w:cs="David"/>
          <w:sz w:val="24"/>
          <w:szCs w:val="24"/>
          <w:rtl/>
        </w:rPr>
      </w:pPr>
      <w:r>
        <w:rPr>
          <w:rFonts w:ascii="David" w:hAnsi="David" w:cs="David"/>
          <w:sz w:val="24"/>
          <w:szCs w:val="24"/>
          <w:rtl/>
        </w:rPr>
        <w:t xml:space="preserve">השאלה שדורשת הכרעה הינה האם הכספים </w:t>
      </w:r>
      <w:r w:rsidR="009D5DEB">
        <w:rPr>
          <w:rFonts w:ascii="David" w:hAnsi="David" w:cs="David" w:hint="cs"/>
          <w:sz w:val="24"/>
          <w:szCs w:val="24"/>
          <w:rtl/>
        </w:rPr>
        <w:t>ש</w:t>
      </w:r>
      <w:r>
        <w:rPr>
          <w:rFonts w:ascii="David" w:hAnsi="David" w:cs="David"/>
          <w:sz w:val="24"/>
          <w:szCs w:val="24"/>
          <w:rtl/>
        </w:rPr>
        <w:t xml:space="preserve">שולמו </w:t>
      </w:r>
      <w:r w:rsidR="00CA6349">
        <w:rPr>
          <w:rFonts w:ascii="David" w:hAnsi="David" w:cs="David" w:hint="cs"/>
          <w:sz w:val="24"/>
          <w:szCs w:val="24"/>
          <w:rtl/>
        </w:rPr>
        <w:t>ל</w:t>
      </w:r>
      <w:r w:rsidR="00676870">
        <w:rPr>
          <w:rFonts w:ascii="David" w:hAnsi="David" w:cs="David" w:hint="cs"/>
          <w:sz w:val="24"/>
          <w:szCs w:val="24"/>
          <w:rtl/>
        </w:rPr>
        <w:t>נתבע</w:t>
      </w:r>
      <w:r w:rsidR="009D5DEB">
        <w:rPr>
          <w:rFonts w:ascii="David" w:hAnsi="David" w:cs="David" w:hint="cs"/>
          <w:sz w:val="24"/>
          <w:szCs w:val="24"/>
          <w:rtl/>
        </w:rPr>
        <w:t>, שולמו</w:t>
      </w:r>
      <w:r w:rsidR="00CA6349">
        <w:rPr>
          <w:rFonts w:ascii="David" w:hAnsi="David" w:cs="David" w:hint="cs"/>
          <w:sz w:val="24"/>
          <w:szCs w:val="24"/>
          <w:rtl/>
        </w:rPr>
        <w:t xml:space="preserve"> </w:t>
      </w:r>
      <w:r>
        <w:rPr>
          <w:rFonts w:ascii="David" w:hAnsi="David" w:cs="David"/>
          <w:sz w:val="24"/>
          <w:szCs w:val="24"/>
          <w:rtl/>
        </w:rPr>
        <w:t xml:space="preserve">בגין גמלת נכות או </w:t>
      </w:r>
      <w:r w:rsidR="009D5DEB">
        <w:rPr>
          <w:rFonts w:ascii="David" w:hAnsi="David" w:cs="David" w:hint="cs"/>
          <w:sz w:val="24"/>
          <w:szCs w:val="24"/>
          <w:rtl/>
        </w:rPr>
        <w:t xml:space="preserve">האם שולמו </w:t>
      </w:r>
      <w:r>
        <w:rPr>
          <w:rFonts w:ascii="David" w:hAnsi="David" w:cs="David"/>
          <w:sz w:val="24"/>
          <w:szCs w:val="24"/>
          <w:rtl/>
        </w:rPr>
        <w:t xml:space="preserve">בעבור אובדן כושר השתכרות. </w:t>
      </w:r>
    </w:p>
    <w:p w:rsidR="003A43AC" w:rsidRPr="003A43AC" w:rsidRDefault="00CA6349" w:rsidP="003A43AC">
      <w:pPr>
        <w:pStyle w:val="ad"/>
        <w:numPr>
          <w:ilvl w:val="0"/>
          <w:numId w:val="1"/>
        </w:numPr>
        <w:spacing w:after="240" w:line="360" w:lineRule="auto"/>
        <w:ind w:left="357" w:hanging="357"/>
        <w:contextualSpacing w:val="0"/>
        <w:jc w:val="both"/>
        <w:rPr>
          <w:rFonts w:ascii="David" w:hAnsi="David" w:cs="David"/>
          <w:b/>
          <w:bCs/>
          <w:sz w:val="24"/>
          <w:szCs w:val="24"/>
        </w:rPr>
      </w:pPr>
      <w:r>
        <w:rPr>
          <w:rFonts w:ascii="David" w:hAnsi="David" w:cs="David" w:hint="cs"/>
          <w:sz w:val="24"/>
          <w:szCs w:val="24"/>
          <w:rtl/>
        </w:rPr>
        <w:t xml:space="preserve">עיון בטיעוני הצדדים ובמסמכים שצורפו אליהם מעלה כי </w:t>
      </w:r>
      <w:r w:rsidR="00C73B8B">
        <w:rPr>
          <w:rFonts w:ascii="David" w:hAnsi="David" w:cs="David"/>
          <w:sz w:val="24"/>
          <w:szCs w:val="24"/>
          <w:rtl/>
        </w:rPr>
        <w:t xml:space="preserve">הגמלה שולמה </w:t>
      </w:r>
      <w:r w:rsidR="00676870">
        <w:rPr>
          <w:rFonts w:ascii="David" w:hAnsi="David" w:cs="David"/>
          <w:sz w:val="24"/>
          <w:szCs w:val="24"/>
          <w:rtl/>
        </w:rPr>
        <w:t>לנתבע</w:t>
      </w:r>
      <w:r w:rsidR="00C73B8B">
        <w:rPr>
          <w:rFonts w:ascii="David" w:hAnsi="David" w:cs="David"/>
          <w:sz w:val="24"/>
          <w:szCs w:val="24"/>
          <w:rtl/>
        </w:rPr>
        <w:t xml:space="preserve"> בגין נכות רפואית ולא בגין אובדן כושר עבודה כטענת </w:t>
      </w:r>
      <w:r w:rsidR="00676870">
        <w:rPr>
          <w:rFonts w:ascii="David" w:hAnsi="David" w:cs="David"/>
          <w:sz w:val="24"/>
          <w:szCs w:val="24"/>
          <w:rtl/>
        </w:rPr>
        <w:t>התובעת</w:t>
      </w:r>
      <w:r w:rsidR="00C73B8B">
        <w:rPr>
          <w:rFonts w:ascii="David" w:hAnsi="David" w:cs="David"/>
          <w:sz w:val="24"/>
          <w:szCs w:val="24"/>
          <w:rtl/>
        </w:rPr>
        <w:t xml:space="preserve">. </w:t>
      </w:r>
      <w:r>
        <w:rPr>
          <w:rFonts w:ascii="David" w:hAnsi="David" w:cs="David" w:hint="cs"/>
          <w:sz w:val="24"/>
          <w:szCs w:val="24"/>
          <w:rtl/>
        </w:rPr>
        <w:t xml:space="preserve">כך למשל צוין במפורש </w:t>
      </w:r>
      <w:r w:rsidR="00C73B8B">
        <w:rPr>
          <w:rFonts w:ascii="David" w:hAnsi="David" w:cs="David"/>
          <w:sz w:val="24"/>
          <w:szCs w:val="24"/>
          <w:rtl/>
        </w:rPr>
        <w:t xml:space="preserve">בהחלטת הוועדה הרפואית </w:t>
      </w:r>
      <w:r>
        <w:rPr>
          <w:rFonts w:ascii="David" w:hAnsi="David" w:cs="David" w:hint="cs"/>
          <w:sz w:val="24"/>
          <w:szCs w:val="24"/>
          <w:rtl/>
        </w:rPr>
        <w:t xml:space="preserve">כי </w:t>
      </w:r>
      <w:r w:rsidR="0090625F">
        <w:rPr>
          <w:rFonts w:ascii="David" w:hAnsi="David" w:cs="David" w:hint="cs"/>
          <w:b/>
          <w:bCs/>
          <w:sz w:val="24"/>
          <w:szCs w:val="24"/>
          <w:rtl/>
        </w:rPr>
        <w:t>"</w:t>
      </w:r>
      <w:r w:rsidRPr="009D5DEB">
        <w:rPr>
          <w:rFonts w:ascii="David" w:hAnsi="David" w:cs="David" w:hint="cs"/>
          <w:b/>
          <w:bCs/>
          <w:sz w:val="24"/>
          <w:szCs w:val="24"/>
          <w:rtl/>
        </w:rPr>
        <w:t>הוו</w:t>
      </w:r>
      <w:r w:rsidR="003A43AC" w:rsidRPr="009D5DEB">
        <w:rPr>
          <w:rFonts w:ascii="David" w:hAnsi="David" w:cs="David" w:hint="cs"/>
          <w:b/>
          <w:bCs/>
          <w:sz w:val="24"/>
          <w:szCs w:val="24"/>
          <w:rtl/>
        </w:rPr>
        <w:t>עדה קובעת בגין אי ספיקה ורידית קשה עם בצקת קבועה ואגזמה בשתי גפיים תחתונות 40% לצמיתה"</w:t>
      </w:r>
      <w:r w:rsidR="00B34294">
        <w:rPr>
          <w:rFonts w:ascii="David" w:hAnsi="David" w:cs="David" w:hint="cs"/>
          <w:sz w:val="24"/>
          <w:szCs w:val="24"/>
          <w:rtl/>
        </w:rPr>
        <w:t xml:space="preserve"> (</w:t>
      </w:r>
      <w:r w:rsidR="00B34294">
        <w:rPr>
          <w:rFonts w:ascii="David" w:hAnsi="David" w:cs="David"/>
          <w:sz w:val="24"/>
          <w:szCs w:val="24"/>
          <w:rtl/>
        </w:rPr>
        <w:t xml:space="preserve">עמ' 2 לדו"ח הוועדה הרפואית של המוסד לביטוח לאומי בעניינו של </w:t>
      </w:r>
      <w:r w:rsidR="00676870">
        <w:rPr>
          <w:rFonts w:ascii="David" w:hAnsi="David" w:cs="David"/>
          <w:sz w:val="24"/>
          <w:szCs w:val="24"/>
          <w:rtl/>
        </w:rPr>
        <w:t>הנתבע</w:t>
      </w:r>
      <w:r w:rsidR="00B34294">
        <w:rPr>
          <w:rFonts w:ascii="David" w:hAnsi="David" w:cs="David"/>
          <w:sz w:val="24"/>
          <w:szCs w:val="24"/>
          <w:rtl/>
        </w:rPr>
        <w:t xml:space="preserve"> מיום 25.7.2022</w:t>
      </w:r>
      <w:r w:rsidR="00B34294">
        <w:rPr>
          <w:rFonts w:ascii="David" w:hAnsi="David" w:cs="David" w:hint="cs"/>
          <w:sz w:val="24"/>
          <w:szCs w:val="24"/>
          <w:rtl/>
        </w:rPr>
        <w:t>)</w:t>
      </w:r>
    </w:p>
    <w:p w:rsidR="003A43AC" w:rsidRDefault="003A43AC" w:rsidP="003A43AC">
      <w:pPr>
        <w:pStyle w:val="ad"/>
        <w:spacing w:after="240" w:line="360" w:lineRule="auto"/>
        <w:ind w:left="357"/>
        <w:contextualSpacing w:val="0"/>
        <w:jc w:val="both"/>
        <w:rPr>
          <w:rFonts w:ascii="David" w:hAnsi="David" w:cs="David"/>
          <w:sz w:val="24"/>
          <w:szCs w:val="24"/>
          <w:rtl/>
        </w:rPr>
      </w:pPr>
      <w:r w:rsidRPr="009D5DEB">
        <w:rPr>
          <w:rFonts w:ascii="David" w:hAnsi="David" w:cs="David" w:hint="cs"/>
          <w:b/>
          <w:bCs/>
          <w:sz w:val="24"/>
          <w:szCs w:val="24"/>
          <w:u w:val="single"/>
          <w:rtl/>
        </w:rPr>
        <w:t>קביעה זו מתייחסת לנזק גוף</w:t>
      </w:r>
      <w:r>
        <w:rPr>
          <w:rFonts w:ascii="David" w:hAnsi="David" w:cs="David" w:hint="cs"/>
          <w:sz w:val="24"/>
          <w:szCs w:val="24"/>
          <w:rtl/>
        </w:rPr>
        <w:t xml:space="preserve"> ומשכך אין מדובר בגמלה שיש לאזן אותה בין בני הזוג, גם אם התקבלה במהלך החיים המשותפים.</w:t>
      </w:r>
    </w:p>
    <w:p w:rsidR="00C73B8B" w:rsidRDefault="009D5DEB" w:rsidP="009D5DEB">
      <w:pPr>
        <w:spacing w:after="240" w:line="360" w:lineRule="auto"/>
        <w:ind w:left="357" w:hanging="357"/>
        <w:jc w:val="both"/>
        <w:rPr>
          <w:rFonts w:ascii="David" w:hAnsi="David"/>
          <w:b/>
          <w:bCs/>
          <w:rtl/>
        </w:rPr>
      </w:pPr>
      <w:r>
        <w:rPr>
          <w:rFonts w:ascii="David" w:hAnsi="David" w:hint="cs"/>
          <w:rtl/>
        </w:rPr>
        <w:t>6.</w:t>
      </w:r>
      <w:r>
        <w:rPr>
          <w:rFonts w:ascii="David" w:hAnsi="David" w:hint="cs"/>
          <w:rtl/>
        </w:rPr>
        <w:tab/>
      </w:r>
      <w:r w:rsidR="003A43AC" w:rsidRPr="009D5DEB">
        <w:rPr>
          <w:rFonts w:ascii="David" w:hAnsi="David" w:hint="cs"/>
          <w:rtl/>
        </w:rPr>
        <w:t xml:space="preserve">ביחס </w:t>
      </w:r>
      <w:r w:rsidR="00B34294" w:rsidRPr="009D5DEB">
        <w:rPr>
          <w:rFonts w:ascii="David" w:hAnsi="David" w:hint="cs"/>
          <w:rtl/>
        </w:rPr>
        <w:t>ל</w:t>
      </w:r>
      <w:r w:rsidR="003A43AC" w:rsidRPr="009D5DEB">
        <w:rPr>
          <w:rFonts w:ascii="David" w:hAnsi="David" w:hint="cs"/>
          <w:rtl/>
        </w:rPr>
        <w:t xml:space="preserve">טענת </w:t>
      </w:r>
      <w:r w:rsidR="00676870">
        <w:rPr>
          <w:rFonts w:ascii="David" w:hAnsi="David" w:hint="cs"/>
          <w:rtl/>
        </w:rPr>
        <w:t>התובעת</w:t>
      </w:r>
      <w:r w:rsidR="003A43AC" w:rsidRPr="009D5DEB">
        <w:rPr>
          <w:rFonts w:ascii="David" w:hAnsi="David" w:hint="cs"/>
          <w:rtl/>
        </w:rPr>
        <w:t xml:space="preserve"> כי הגמלה התקבלה בגין אובדן כושר עבודה, הרי שעיון במסמכים שצורפו מעלה כי ביחס לכך נכתב </w:t>
      </w:r>
      <w:r w:rsidR="00B34294" w:rsidRPr="009D5DEB">
        <w:rPr>
          <w:rFonts w:ascii="David" w:hAnsi="David" w:hint="cs"/>
          <w:b/>
          <w:bCs/>
          <w:rtl/>
        </w:rPr>
        <w:t>"הוועידה החליטה שאין להגדיל את אחוזי הנכות עפ"י תקנה 15. שב לעבודה ללא טענה לירידה שכר" (</w:t>
      </w:r>
      <w:r w:rsidR="00B34294" w:rsidRPr="009D5DEB">
        <w:rPr>
          <w:rFonts w:ascii="David" w:hAnsi="David" w:hint="cs"/>
          <w:rtl/>
        </w:rPr>
        <w:t>עמ'</w:t>
      </w:r>
      <w:r w:rsidR="00C73B8B" w:rsidRPr="009D5DEB">
        <w:rPr>
          <w:rFonts w:ascii="David" w:hAnsi="David"/>
          <w:rtl/>
        </w:rPr>
        <w:t xml:space="preserve"> 3 לד</w:t>
      </w:r>
      <w:r w:rsidR="00B34294" w:rsidRPr="009D5DEB">
        <w:rPr>
          <w:rFonts w:ascii="David" w:hAnsi="David"/>
          <w:rtl/>
        </w:rPr>
        <w:t>ו"ח</w:t>
      </w:r>
      <w:r w:rsidR="00B34294" w:rsidRPr="009D5DEB">
        <w:rPr>
          <w:rFonts w:ascii="David" w:hAnsi="David" w:hint="cs"/>
          <w:rtl/>
        </w:rPr>
        <w:t>)</w:t>
      </w:r>
      <w:r w:rsidR="00C73B8B" w:rsidRPr="009D5DEB">
        <w:rPr>
          <w:rFonts w:ascii="David" w:hAnsi="David"/>
          <w:b/>
          <w:bCs/>
          <w:rtl/>
        </w:rPr>
        <w:t xml:space="preserve">. </w:t>
      </w:r>
    </w:p>
    <w:p w:rsidR="009D5DEB" w:rsidRDefault="009D5DEB" w:rsidP="009D5DEB">
      <w:pPr>
        <w:spacing w:after="240" w:line="360" w:lineRule="auto"/>
        <w:ind w:left="357" w:hanging="357"/>
        <w:jc w:val="both"/>
        <w:rPr>
          <w:rFonts w:ascii="David" w:hAnsi="David"/>
          <w:rtl/>
        </w:rPr>
      </w:pPr>
      <w:r w:rsidRPr="0090625F">
        <w:rPr>
          <w:rFonts w:ascii="David" w:hAnsi="David" w:hint="cs"/>
          <w:rtl/>
        </w:rPr>
        <w:t>7.</w:t>
      </w:r>
      <w:r>
        <w:rPr>
          <w:rFonts w:ascii="David" w:hAnsi="David" w:hint="cs"/>
          <w:b/>
          <w:bCs/>
          <w:rtl/>
        </w:rPr>
        <w:tab/>
      </w:r>
      <w:r>
        <w:rPr>
          <w:rFonts w:ascii="David" w:hAnsi="David" w:hint="cs"/>
          <w:rtl/>
        </w:rPr>
        <w:t xml:space="preserve">עוד לא </w:t>
      </w:r>
      <w:r>
        <w:rPr>
          <w:rFonts w:ascii="David" w:hAnsi="David"/>
          <w:rtl/>
        </w:rPr>
        <w:t xml:space="preserve">מצאתי לקבל את טענת התובעת לפיה אילו הצדדים לא היו נפרדים היו נכנסים כספים אלה לחשבון הבנק המשותף של הצדדים. מדובר בהנחה תיאורטית של התובעת שאינה מגובה בתימוכין. </w:t>
      </w:r>
      <w:r>
        <w:rPr>
          <w:rFonts w:ascii="David" w:hAnsi="David" w:hint="cs"/>
          <w:rtl/>
        </w:rPr>
        <w:t xml:space="preserve">ככל שהיו הצדדים ממשיכים וחיים יחד, יכול וכלל לא היתה מתעוררת מחלוקת בינהם בכלל ביחס לאופן השימוש בכספים שהתקבלו בגין נזק גוף ואולם שעה שעובדתית אין מחלוקת כי בפועל הצדדים התגרשו אזי אין שום רלוונטיות ל"מה היה קורה אם היו הצדדים ממשיכים לחיות ביחד, וממשיכים להעניק זה לאחר חלק בזכויות אישיות". </w:t>
      </w:r>
    </w:p>
    <w:p w:rsidR="009D5DEB" w:rsidRPr="00676870" w:rsidRDefault="009D5DEB" w:rsidP="009D5DEB">
      <w:pPr>
        <w:spacing w:after="240" w:line="360" w:lineRule="auto"/>
        <w:ind w:left="357" w:hanging="357"/>
        <w:jc w:val="both"/>
        <w:rPr>
          <w:rFonts w:ascii="David" w:hAnsi="David"/>
          <w:b/>
          <w:bCs/>
        </w:rPr>
      </w:pPr>
      <w:r>
        <w:rPr>
          <w:rFonts w:ascii="David" w:hAnsi="David" w:hint="cs"/>
          <w:rtl/>
        </w:rPr>
        <w:t>8.</w:t>
      </w:r>
      <w:r>
        <w:rPr>
          <w:rFonts w:ascii="David" w:hAnsi="David" w:hint="cs"/>
          <w:rtl/>
        </w:rPr>
        <w:tab/>
        <w:t>כאמור, סבור</w:t>
      </w:r>
      <w:r w:rsidR="00676870">
        <w:rPr>
          <w:rFonts w:ascii="David" w:hAnsi="David" w:hint="cs"/>
          <w:rtl/>
        </w:rPr>
        <w:t>ת</w:t>
      </w:r>
      <w:r>
        <w:rPr>
          <w:rFonts w:ascii="David" w:hAnsi="David" w:hint="cs"/>
          <w:rtl/>
        </w:rPr>
        <w:t>ני כי לא יכולה להיות כל מחלוקת</w:t>
      </w:r>
      <w:r w:rsidR="00676870">
        <w:rPr>
          <w:rFonts w:ascii="David" w:hAnsi="David" w:hint="cs"/>
          <w:rtl/>
        </w:rPr>
        <w:t>,</w:t>
      </w:r>
      <w:r>
        <w:rPr>
          <w:rFonts w:ascii="David" w:hAnsi="David" w:hint="cs"/>
          <w:rtl/>
        </w:rPr>
        <w:t xml:space="preserve"> כי המסמכים הרפואיים מלמדים אותנו  כי גמלת הנכות שולמה לנתבע בגין נזק גוף ולא היה בצדה אובדן כושר השתכרות ומשכך, </w:t>
      </w:r>
      <w:r w:rsidRPr="00676870">
        <w:rPr>
          <w:rFonts w:ascii="David" w:hAnsi="David" w:hint="cs"/>
          <w:b/>
          <w:bCs/>
          <w:rtl/>
        </w:rPr>
        <w:t>מלוא הסכום ששולם לנתבע כגמלת נכות, ישאר בידיו ולא יאוזן כנכס בר איזון.</w:t>
      </w:r>
      <w:r w:rsidRPr="00676870">
        <w:rPr>
          <w:rFonts w:ascii="David" w:hAnsi="David"/>
          <w:b/>
          <w:bCs/>
          <w:rtl/>
        </w:rPr>
        <w:t xml:space="preserve"> </w:t>
      </w:r>
    </w:p>
    <w:p w:rsidR="00C73B8B" w:rsidRDefault="00C73B8B" w:rsidP="00676870">
      <w:pPr>
        <w:spacing w:after="240" w:line="360" w:lineRule="auto"/>
        <w:jc w:val="both"/>
        <w:rPr>
          <w:rFonts w:ascii="David" w:hAnsi="David"/>
          <w:u w:val="single"/>
        </w:rPr>
      </w:pPr>
      <w:r>
        <w:rPr>
          <w:rFonts w:ascii="David" w:hAnsi="David"/>
          <w:u w:val="single"/>
          <w:rtl/>
        </w:rPr>
        <w:t xml:space="preserve">פיצוי בגין תאונת דרכים ששולם </w:t>
      </w:r>
      <w:r w:rsidR="00676870">
        <w:rPr>
          <w:rFonts w:ascii="David" w:hAnsi="David"/>
          <w:u w:val="single"/>
          <w:rtl/>
        </w:rPr>
        <w:t>ל</w:t>
      </w:r>
      <w:r w:rsidR="00676870">
        <w:rPr>
          <w:rFonts w:ascii="David" w:hAnsi="David" w:hint="cs"/>
          <w:u w:val="single"/>
          <w:rtl/>
        </w:rPr>
        <w:t>תובעת</w:t>
      </w:r>
      <w:r>
        <w:rPr>
          <w:rFonts w:ascii="David" w:hAnsi="David"/>
          <w:u w:val="single"/>
          <w:rtl/>
        </w:rPr>
        <w:t xml:space="preserve"> </w:t>
      </w:r>
    </w:p>
    <w:p w:rsidR="00C73B8B" w:rsidRPr="009D5DEB" w:rsidRDefault="009D5DEB" w:rsidP="007039E2">
      <w:pPr>
        <w:spacing w:after="240" w:line="360" w:lineRule="auto"/>
        <w:ind w:left="509" w:hanging="509"/>
        <w:jc w:val="both"/>
        <w:rPr>
          <w:rFonts w:ascii="David" w:hAnsi="David"/>
          <w:rtl/>
        </w:rPr>
      </w:pPr>
      <w:r>
        <w:rPr>
          <w:rFonts w:ascii="David" w:hAnsi="David" w:hint="cs"/>
          <w:rtl/>
        </w:rPr>
        <w:t>9.</w:t>
      </w:r>
      <w:r>
        <w:rPr>
          <w:rFonts w:ascii="David" w:hAnsi="David" w:hint="cs"/>
          <w:rtl/>
        </w:rPr>
        <w:tab/>
        <w:t xml:space="preserve">ביחס לתובעת, אין מחלוקת כי </w:t>
      </w:r>
      <w:r w:rsidR="007039E2">
        <w:rPr>
          <w:rFonts w:ascii="David" w:hAnsi="David" w:hint="cs"/>
          <w:rtl/>
        </w:rPr>
        <w:t xml:space="preserve">היא עברה </w:t>
      </w:r>
      <w:r w:rsidR="00C73B8B" w:rsidRPr="009D5DEB">
        <w:rPr>
          <w:rFonts w:ascii="David" w:hAnsi="David"/>
          <w:rtl/>
        </w:rPr>
        <w:t xml:space="preserve">בשנת 2019 תאונת דרכים ובגינה קיבלה פיצויים בסך של 98,831 ₪. </w:t>
      </w:r>
    </w:p>
    <w:p w:rsidR="007039E2" w:rsidRDefault="007039E2" w:rsidP="007039E2">
      <w:pPr>
        <w:pStyle w:val="ad"/>
        <w:numPr>
          <w:ilvl w:val="0"/>
          <w:numId w:val="1"/>
        </w:numPr>
        <w:spacing w:after="240" w:line="360" w:lineRule="auto"/>
        <w:ind w:left="509" w:hanging="509"/>
        <w:contextualSpacing w:val="0"/>
        <w:jc w:val="both"/>
        <w:rPr>
          <w:rFonts w:ascii="David" w:hAnsi="David" w:cs="David"/>
          <w:sz w:val="24"/>
          <w:szCs w:val="24"/>
        </w:rPr>
      </w:pPr>
      <w:r>
        <w:rPr>
          <w:rFonts w:ascii="David" w:hAnsi="David" w:cs="David" w:hint="cs"/>
          <w:sz w:val="24"/>
          <w:szCs w:val="24"/>
          <w:rtl/>
        </w:rPr>
        <w:t xml:space="preserve">הנתבע טוען כי הסכום ששולם לתובעת כפיצוי בגין תאונת הדרכים, הוא נכס בר איזון, שכן לטענתו היה שותף בתהליך המשפטי לטובת קבלת סכום זה וכן ליווה את התובעת בטיפולים הרפואיים ואף צרף אסמכתאות בדבר החלק שנטל בהליך זה. </w:t>
      </w:r>
    </w:p>
    <w:p w:rsidR="007039E2" w:rsidRDefault="007039E2" w:rsidP="007039E2">
      <w:pPr>
        <w:pStyle w:val="ad"/>
        <w:numPr>
          <w:ilvl w:val="0"/>
          <w:numId w:val="1"/>
        </w:numPr>
        <w:spacing w:after="240" w:line="360" w:lineRule="auto"/>
        <w:ind w:left="509" w:hanging="509"/>
        <w:contextualSpacing w:val="0"/>
        <w:jc w:val="both"/>
        <w:rPr>
          <w:rFonts w:ascii="David" w:hAnsi="David" w:cs="David"/>
          <w:sz w:val="24"/>
          <w:szCs w:val="24"/>
        </w:rPr>
      </w:pPr>
      <w:r>
        <w:rPr>
          <w:rFonts w:ascii="David" w:hAnsi="David" w:cs="David" w:hint="cs"/>
          <w:sz w:val="24"/>
          <w:szCs w:val="24"/>
          <w:rtl/>
        </w:rPr>
        <w:t xml:space="preserve">מובהר כי המצב המשפטי איננו מביא בחשבון את מעורבות בני הזוג באופן קבלת הזכויות הכספיות בגין נזק הגוף. הלכה פסוקה היא כי השאלה שיש לבחון היא האם הסכום התקבל כפיצוי בגין נזק גוף ולא האם בן הזוג היה מעורב או תרם לקבלת אותו פיצוי. </w:t>
      </w:r>
    </w:p>
    <w:p w:rsidR="00C73B8B" w:rsidRDefault="007039E2" w:rsidP="007039E2">
      <w:pPr>
        <w:pStyle w:val="ad"/>
        <w:numPr>
          <w:ilvl w:val="0"/>
          <w:numId w:val="1"/>
        </w:numPr>
        <w:spacing w:after="240" w:line="360" w:lineRule="auto"/>
        <w:ind w:left="509" w:hanging="509"/>
        <w:contextualSpacing w:val="0"/>
        <w:jc w:val="both"/>
        <w:rPr>
          <w:rFonts w:ascii="David" w:hAnsi="David" w:cs="David"/>
          <w:sz w:val="24"/>
          <w:szCs w:val="24"/>
        </w:rPr>
      </w:pPr>
      <w:r>
        <w:rPr>
          <w:rFonts w:ascii="David" w:hAnsi="David" w:cs="David" w:hint="cs"/>
          <w:sz w:val="24"/>
          <w:szCs w:val="24"/>
          <w:rtl/>
        </w:rPr>
        <w:t xml:space="preserve">בענייננו, עיון במסמכים שצרפה </w:t>
      </w:r>
      <w:r w:rsidR="00676870">
        <w:rPr>
          <w:rFonts w:ascii="David" w:hAnsi="David" w:cs="David" w:hint="cs"/>
          <w:sz w:val="24"/>
          <w:szCs w:val="24"/>
          <w:rtl/>
        </w:rPr>
        <w:t>התובעת</w:t>
      </w:r>
      <w:r>
        <w:rPr>
          <w:rFonts w:ascii="David" w:hAnsi="David" w:cs="David" w:hint="cs"/>
          <w:sz w:val="24"/>
          <w:szCs w:val="24"/>
          <w:rtl/>
        </w:rPr>
        <w:t>, מעלה כי הכספים התקבלו במסגרת הסכם פשרה עם חברת הביטוח ולשון סעיפים 1 ו</w:t>
      </w:r>
      <w:r w:rsidR="00676870">
        <w:rPr>
          <w:rFonts w:ascii="David" w:hAnsi="David" w:cs="David" w:hint="cs"/>
          <w:sz w:val="24"/>
          <w:szCs w:val="24"/>
          <w:rtl/>
        </w:rPr>
        <w:t xml:space="preserve"> -</w:t>
      </w:r>
      <w:r>
        <w:rPr>
          <w:rFonts w:ascii="David" w:hAnsi="David" w:cs="David" w:hint="cs"/>
          <w:sz w:val="24"/>
          <w:szCs w:val="24"/>
          <w:rtl/>
        </w:rPr>
        <w:t xml:space="preserve"> 3 להסכם הפשרה, מבהירה כי לא יכולה להיות מחלוקת שכספים אלו התקבלו בגין תביעת </w:t>
      </w:r>
      <w:r w:rsidR="00676870">
        <w:rPr>
          <w:rFonts w:ascii="David" w:hAnsi="David" w:cs="David" w:hint="cs"/>
          <w:sz w:val="24"/>
          <w:szCs w:val="24"/>
          <w:rtl/>
        </w:rPr>
        <w:t>התובעת</w:t>
      </w:r>
      <w:r>
        <w:rPr>
          <w:rFonts w:ascii="David" w:hAnsi="David" w:cs="David" w:hint="cs"/>
          <w:sz w:val="24"/>
          <w:szCs w:val="24"/>
          <w:rtl/>
        </w:rPr>
        <w:t xml:space="preserve"> לפיצוי בגין נזקי גוף.</w:t>
      </w:r>
      <w:r w:rsidR="00C73B8B">
        <w:rPr>
          <w:rFonts w:ascii="David" w:hAnsi="David" w:cs="David"/>
          <w:sz w:val="24"/>
          <w:szCs w:val="24"/>
          <w:rtl/>
        </w:rPr>
        <w:t xml:space="preserve"> </w:t>
      </w:r>
    </w:p>
    <w:p w:rsidR="007039E2" w:rsidRDefault="007039E2" w:rsidP="00676870">
      <w:pPr>
        <w:pStyle w:val="ad"/>
        <w:numPr>
          <w:ilvl w:val="0"/>
          <w:numId w:val="1"/>
        </w:numPr>
        <w:spacing w:after="240" w:line="360" w:lineRule="auto"/>
        <w:ind w:left="509" w:hanging="509"/>
        <w:contextualSpacing w:val="0"/>
        <w:jc w:val="both"/>
        <w:rPr>
          <w:rFonts w:ascii="David" w:hAnsi="David" w:cs="David"/>
          <w:sz w:val="24"/>
          <w:szCs w:val="24"/>
        </w:rPr>
      </w:pPr>
      <w:r>
        <w:rPr>
          <w:rFonts w:ascii="David" w:hAnsi="David" w:cs="David" w:hint="cs"/>
          <w:sz w:val="24"/>
          <w:szCs w:val="24"/>
          <w:rtl/>
        </w:rPr>
        <w:t xml:space="preserve">משכך, גם סכום זה בדומה לגמלת הנכות שהתקבלה בידי הנתבע, איננו מהווה נכס בר איזון. </w:t>
      </w:r>
      <w:r w:rsidRPr="00676870">
        <w:rPr>
          <w:rFonts w:ascii="David" w:hAnsi="David" w:cs="David" w:hint="cs"/>
          <w:b/>
          <w:bCs/>
          <w:sz w:val="24"/>
          <w:szCs w:val="24"/>
          <w:rtl/>
        </w:rPr>
        <w:t xml:space="preserve">סכום הפיצוי ששולם </w:t>
      </w:r>
      <w:r w:rsidR="00676870" w:rsidRPr="00676870">
        <w:rPr>
          <w:rFonts w:ascii="David" w:hAnsi="David" w:cs="David" w:hint="cs"/>
          <w:b/>
          <w:bCs/>
          <w:sz w:val="24"/>
          <w:szCs w:val="24"/>
          <w:rtl/>
        </w:rPr>
        <w:t>לתובעת</w:t>
      </w:r>
      <w:r w:rsidRPr="00676870">
        <w:rPr>
          <w:rFonts w:ascii="David" w:hAnsi="David" w:cs="David" w:hint="cs"/>
          <w:b/>
          <w:bCs/>
          <w:sz w:val="24"/>
          <w:szCs w:val="24"/>
          <w:rtl/>
        </w:rPr>
        <w:t xml:space="preserve"> בגין תאונת הדרכים שהיתה מעורבת בה, יישאר בידיה</w:t>
      </w:r>
      <w:r>
        <w:rPr>
          <w:rFonts w:ascii="David" w:hAnsi="David" w:cs="David" w:hint="cs"/>
          <w:sz w:val="24"/>
          <w:szCs w:val="24"/>
          <w:rtl/>
        </w:rPr>
        <w:t>.</w:t>
      </w:r>
    </w:p>
    <w:p w:rsidR="00C73B8B" w:rsidRDefault="00C73B8B" w:rsidP="00C73B8B">
      <w:pPr>
        <w:pStyle w:val="ad"/>
        <w:numPr>
          <w:ilvl w:val="0"/>
          <w:numId w:val="1"/>
        </w:numPr>
        <w:spacing w:after="240" w:line="360" w:lineRule="auto"/>
        <w:ind w:left="509" w:hanging="509"/>
        <w:contextualSpacing w:val="0"/>
        <w:jc w:val="both"/>
        <w:rPr>
          <w:rFonts w:ascii="David" w:hAnsi="David" w:cs="David"/>
          <w:sz w:val="24"/>
          <w:szCs w:val="24"/>
        </w:rPr>
      </w:pPr>
      <w:r w:rsidRPr="00585875">
        <w:rPr>
          <w:rFonts w:ascii="David" w:hAnsi="David" w:cs="David"/>
          <w:b/>
          <w:bCs/>
          <w:sz w:val="24"/>
          <w:szCs w:val="24"/>
          <w:rtl/>
        </w:rPr>
        <w:t>לסיכום</w:t>
      </w:r>
      <w:r>
        <w:rPr>
          <w:rFonts w:ascii="David" w:hAnsi="David" w:cs="David"/>
          <w:sz w:val="24"/>
          <w:szCs w:val="24"/>
          <w:rtl/>
        </w:rPr>
        <w:t xml:space="preserve">, לאחר שעיינתי בטענות הצדדים ובחומר המצוי בתיק, אני קובעת כי גמלת הנכות שולמה </w:t>
      </w:r>
      <w:r w:rsidR="00676870">
        <w:rPr>
          <w:rFonts w:ascii="David" w:hAnsi="David" w:cs="David"/>
          <w:sz w:val="24"/>
          <w:szCs w:val="24"/>
          <w:rtl/>
        </w:rPr>
        <w:t>לנתבע</w:t>
      </w:r>
      <w:r>
        <w:rPr>
          <w:rFonts w:ascii="David" w:hAnsi="David" w:cs="David"/>
          <w:sz w:val="24"/>
          <w:szCs w:val="24"/>
          <w:rtl/>
        </w:rPr>
        <w:t xml:space="preserve"> בגין נכות רפואית עקב מחלת מקצוע ואינה ברת איזון. כך גם הפיצוי שקיבלה </w:t>
      </w:r>
      <w:r w:rsidR="00676870">
        <w:rPr>
          <w:rFonts w:ascii="David" w:hAnsi="David" w:cs="David"/>
          <w:sz w:val="24"/>
          <w:szCs w:val="24"/>
          <w:rtl/>
        </w:rPr>
        <w:t>התובעת</w:t>
      </w:r>
      <w:r>
        <w:rPr>
          <w:rFonts w:ascii="David" w:hAnsi="David" w:cs="David"/>
          <w:sz w:val="24"/>
          <w:szCs w:val="24"/>
          <w:rtl/>
        </w:rPr>
        <w:t xml:space="preserve"> בגין נזק גוף אינו בר איזון. </w:t>
      </w:r>
    </w:p>
    <w:p w:rsidR="00C73B8B" w:rsidRDefault="00C73B8B" w:rsidP="00C73B8B">
      <w:pPr>
        <w:pStyle w:val="ad"/>
        <w:numPr>
          <w:ilvl w:val="0"/>
          <w:numId w:val="1"/>
        </w:numPr>
        <w:spacing w:after="240" w:line="360" w:lineRule="auto"/>
        <w:ind w:left="509" w:hanging="509"/>
        <w:contextualSpacing w:val="0"/>
        <w:jc w:val="both"/>
        <w:rPr>
          <w:rFonts w:ascii="David" w:hAnsi="David" w:cs="David"/>
          <w:sz w:val="24"/>
          <w:szCs w:val="24"/>
        </w:rPr>
      </w:pPr>
      <w:r>
        <w:rPr>
          <w:rFonts w:ascii="David" w:hAnsi="David" w:cs="David"/>
          <w:sz w:val="24"/>
          <w:szCs w:val="24"/>
          <w:rtl/>
        </w:rPr>
        <w:t>כל אחד מהצדדים יהא זכאי למלוא הסכום שקיבל</w:t>
      </w:r>
      <w:r w:rsidR="00D50BD6">
        <w:rPr>
          <w:rFonts w:ascii="David" w:hAnsi="David" w:cs="David" w:hint="cs"/>
          <w:sz w:val="24"/>
          <w:szCs w:val="24"/>
          <w:rtl/>
        </w:rPr>
        <w:t>, מובהר כי הסכומים ברישא לפסה"ד הינם הסכום שהתקבל בקיזוז שכר טירחת עורכי דין ששולם לעורכי הדין שטיפלו בתביעות</w:t>
      </w:r>
      <w:r>
        <w:rPr>
          <w:rFonts w:ascii="David" w:hAnsi="David" w:cs="David"/>
          <w:sz w:val="24"/>
          <w:szCs w:val="24"/>
          <w:rtl/>
        </w:rPr>
        <w:t xml:space="preserve">. </w:t>
      </w:r>
    </w:p>
    <w:p w:rsidR="00C73B8B" w:rsidRDefault="00AB51BD" w:rsidP="00AB51BD">
      <w:pPr>
        <w:pStyle w:val="ad"/>
        <w:numPr>
          <w:ilvl w:val="0"/>
          <w:numId w:val="1"/>
        </w:numPr>
        <w:spacing w:after="240" w:line="360" w:lineRule="auto"/>
        <w:ind w:left="509" w:hanging="509"/>
        <w:contextualSpacing w:val="0"/>
        <w:jc w:val="both"/>
        <w:rPr>
          <w:rFonts w:ascii="David" w:hAnsi="David" w:cs="David"/>
          <w:sz w:val="24"/>
          <w:szCs w:val="24"/>
        </w:rPr>
      </w:pPr>
      <w:r>
        <w:rPr>
          <w:rFonts w:ascii="David" w:hAnsi="David" w:cs="David"/>
          <w:sz w:val="24"/>
          <w:szCs w:val="24"/>
          <w:rtl/>
        </w:rPr>
        <w:t>בכך מסתיים ההליך</w:t>
      </w:r>
      <w:r>
        <w:rPr>
          <w:rFonts w:ascii="David" w:hAnsi="David" w:cs="David" w:hint="cs"/>
          <w:sz w:val="24"/>
          <w:szCs w:val="24"/>
          <w:rtl/>
        </w:rPr>
        <w:t xml:space="preserve">. לא מצאתי לעשות צו להוצאות. </w:t>
      </w:r>
      <w:r w:rsidR="00C73B8B">
        <w:rPr>
          <w:rFonts w:ascii="David" w:hAnsi="David" w:cs="David"/>
          <w:sz w:val="24"/>
          <w:szCs w:val="24"/>
          <w:rtl/>
        </w:rPr>
        <w:t>המזכירות</w:t>
      </w:r>
      <w:r>
        <w:rPr>
          <w:rFonts w:ascii="David" w:hAnsi="David" w:cs="David" w:hint="cs"/>
          <w:sz w:val="24"/>
          <w:szCs w:val="24"/>
          <w:rtl/>
        </w:rPr>
        <w:t xml:space="preserve"> תשלח פסה"ד ו</w:t>
      </w:r>
      <w:r w:rsidR="00C73B8B">
        <w:rPr>
          <w:rFonts w:ascii="David" w:hAnsi="David" w:cs="David"/>
          <w:sz w:val="24"/>
          <w:szCs w:val="24"/>
          <w:rtl/>
        </w:rPr>
        <w:t xml:space="preserve">תסגור את התיק. </w:t>
      </w:r>
    </w:p>
    <w:p w:rsidR="00694556" w:rsidRPr="00585875" w:rsidRDefault="00585875" w:rsidP="00585875">
      <w:pPr>
        <w:spacing w:line="360" w:lineRule="auto"/>
        <w:jc w:val="both"/>
        <w:rPr>
          <w:rFonts w:ascii="Arial" w:hAnsi="Arial"/>
          <w:noProof w:val="0"/>
          <w:rtl/>
        </w:rPr>
      </w:pPr>
      <w:r>
        <w:rPr>
          <w:rFonts w:ascii="Arial" w:hAnsi="Arial" w:hint="cs"/>
          <w:rtl/>
        </w:rPr>
        <w:t>13.</w:t>
      </w:r>
      <w:r>
        <w:rPr>
          <w:rFonts w:ascii="Arial" w:hAnsi="Arial" w:hint="cs"/>
          <w:rtl/>
        </w:rPr>
        <w:tab/>
      </w:r>
      <w:r w:rsidRPr="00585875">
        <w:rPr>
          <w:rFonts w:ascii="Arial" w:hAnsi="Arial" w:hint="cs"/>
          <w:rtl/>
        </w:rPr>
        <w:t>מתירה העברה למאגרי פסיקה בהשמטת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27186" w:rsidP="00633C4F">
      <w:pPr>
        <w:spacing w:line="360" w:lineRule="auto"/>
        <w:ind w:left="3600" w:firstLine="720"/>
      </w:pPr>
      <w:sdt>
        <w:sdtPr>
          <w:rPr>
            <w:rtl/>
          </w:rPr>
          <w:alias w:val="MergeField"/>
          <w:tag w:val="1237"/>
          <w:id w:val="774751039"/>
        </w:sdtPr>
        <w:sdtEndPr/>
        <w:sdtContent>
          <w:r w:rsidR="00B14FCD">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186" w:rsidRDefault="00727186">
      <w:r>
        <w:separator/>
      </w:r>
    </w:p>
  </w:endnote>
  <w:endnote w:type="continuationSeparator" w:id="0">
    <w:p w:rsidR="00727186" w:rsidRDefault="0072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2718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2718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186" w:rsidRDefault="00727186">
      <w:r>
        <w:separator/>
      </w:r>
    </w:p>
  </w:footnote>
  <w:footnote w:type="continuationSeparator" w:id="0">
    <w:p w:rsidR="00727186" w:rsidRDefault="00727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676870">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rsidTr="00676870">
      <w:trPr>
        <w:trHeight w:val="337"/>
        <w:jc w:val="center"/>
      </w:trPr>
      <w:tc>
        <w:tcPr>
          <w:tcW w:w="8505" w:type="dxa"/>
        </w:tcPr>
        <w:p w:rsidR="00694556" w:rsidRDefault="00727186" w:rsidP="00A20B9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30514-04-22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20B9E">
                <w:rPr>
                  <w:rFonts w:hint="cs"/>
                  <w:b/>
                  <w:bCs/>
                  <w:noProof w:val="0"/>
                  <w:sz w:val="26"/>
                  <w:szCs w:val="26"/>
                  <w:rtl/>
                </w:rPr>
                <w:t>פלונית נ' 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F1952"/>
    <w:multiLevelType w:val="hybridMultilevel"/>
    <w:tmpl w:val="655A84B2"/>
    <w:lvl w:ilvl="0" w:tplc="1A3020E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096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09694&amp;lt;/CaseID&amp;gt;_x000d__x000a_        &amp;lt;CaseMonth&amp;gt;4&amp;lt;/CaseMonth&amp;gt;_x000d__x000a_        &amp;lt;CaseYear&amp;gt;2022&amp;lt;/CaseYear&amp;gt;_x000d__x000a_        &amp;lt;CaseNumber&amp;gt;30514&amp;lt;/CaseNumber&amp;gt;_x000d__x000a_        &amp;lt;NumeratorGroupID&amp;gt;1&amp;lt;/NumeratorGroupID&amp;gt;_x000d__x000a_        &amp;lt;CaseName&amp;gt;בונבידה נ&amp;#39; בונבידה&amp;lt;/CaseName&amp;gt;_x000d__x000a_        &amp;lt;CourtID&amp;gt;41&amp;lt;/CourtID&amp;gt;_x000d__x000a_        &amp;lt;CaseTypeID&amp;gt;10262&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514-04-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4-14T14:3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31.7.22 נמסרה טלפונית לעו&amp;quot;ד שגית שאמ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09694&amp;lt;/CaseID&amp;gt;_x000d__x000a_        &amp;lt;CaseMonth&amp;gt;4&amp;lt;/CaseMonth&amp;gt;_x000d__x000a_        &amp;lt;CaseYear&amp;gt;2022&amp;lt;/CaseYear&amp;gt;_x000d__x000a_        &amp;lt;CaseNumber&amp;gt;30514&amp;lt;/CaseNumber&amp;gt;_x000d__x000a_        &amp;lt;NumeratorGroupID&amp;gt;1&amp;lt;/NumeratorGroupID&amp;gt;_x000d__x000a_        &amp;lt;CaseName&amp;gt;בונבידה נ&amp;#39; בונבידה&amp;lt;/CaseName&amp;gt;_x000d__x000a_        &amp;lt;CourtID&amp;gt;41&amp;lt;/CourtID&amp;gt;_x000d__x000a_        &amp;lt;CaseTypeID&amp;gt;10262&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514-04-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4-14T14:3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31.7.22 נמסרה טלפונית לעו&amp;quot;ד שגית שאמ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37871&amp;lt;/DecisionID&amp;gt;_x000d__x000a_        &amp;lt;DecisionName&amp;gt;פסק דין  שניתנה ע&amp;quot;י  רותם קודלר עיאש&amp;lt;/DecisionName&amp;gt;_x000d__x000a_        &amp;lt;DecisionStatusID&amp;gt;1&amp;lt;/DecisionStatusID&amp;gt;_x000d__x000a_        &amp;lt;DecisionStatusChangeDate&amp;gt;2024-10-31T15:17:46.093+02:00&amp;lt;/DecisionStatusChangeDate&amp;gt;_x000d__x000a_        &amp;lt;DecisionSignatureDate&amp;gt;2024-10-31T12:14:38.69+02:00&amp;lt;/DecisionSignatureDate&amp;gt;_x000d__x000a_        &amp;lt;DecisionSignatureUserID&amp;gt;025596065@GOV.IL&amp;lt;/DecisionSignatureUserID&amp;gt;_x000d__x000a_        &amp;lt;DecisionCreateDate&amp;gt;2024-10-31T12:17:06.64+02:00&amp;lt;/DecisionCreateDate&amp;gt;_x000d__x000a_        &amp;lt;DecisionChangeDate&amp;gt;2024-10-31T15:17:46.153+02:00&amp;lt;/DecisionChangeDate&amp;gt;_x000d__x000a_        &amp;lt;DecisionChangeUserID&amp;gt;2068160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1202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816043@GOV.IL&amp;lt;/DecisionCreationUserID&amp;gt;_x000d__x000a_        &amp;lt;DecisionDisplayName&amp;gt;פסק דין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2&amp;lt;/DecisionNumberInCase&amp;gt;_x000d__x000a_      &amp;lt;/dt_Decision&amp;gt;_x000d__x000a_      &amp;lt;dt_DecisionCase diffgr:id=&amp;quot;dt_DecisionCase1&amp;quot; msdata:rowOrder=&amp;quot;0&amp;quot;&amp;gt;_x000d__x000a_        &amp;lt;DecisionID&amp;gt;155737871&amp;lt;/DecisionID&amp;gt;_x000d__x000a_        &amp;lt;CaseID&amp;gt;79209694&amp;lt;/CaseID&amp;gt;_x000d__x000a_        &amp;lt;IsOriginal&amp;gt;true&amp;lt;/IsOriginal&amp;gt;_x000d__x000a_        &amp;lt;IsDeleted&amp;gt;false&amp;lt;/IsDeleted&amp;gt;_x000d__x000a_        &amp;lt;CaseName&amp;gt;בונבידה נ&amp;#39; בונבידה&amp;lt;/CaseName&amp;gt;_x000d__x000a_        &amp;lt;CaseDisplayIdentifier&amp;gt;30514-04-22 תלה&amp;quot;מ&amp;lt;/CaseDisplayIdentifier&amp;gt;_x000d__x000a_      &amp;lt;/dt_DecisionCase&amp;gt;_x000d__x000a_    &amp;lt;/DecisionDS&amp;gt;_x000d__x000a_  &amp;lt;/diffgr:diffgram&amp;gt;_x000d__x000a_&amp;lt;/DecisionDS&amp;gt;"/>
    <w:docVar w:name="DecisionID" w:val="15573787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66F2B"/>
    <w:rsid w:val="001B1423"/>
    <w:rsid w:val="001C4003"/>
    <w:rsid w:val="001F5474"/>
    <w:rsid w:val="002352F7"/>
    <w:rsid w:val="00242B66"/>
    <w:rsid w:val="0027277D"/>
    <w:rsid w:val="002D70BB"/>
    <w:rsid w:val="0032017E"/>
    <w:rsid w:val="00381D3A"/>
    <w:rsid w:val="003823DA"/>
    <w:rsid w:val="003A43AC"/>
    <w:rsid w:val="0043595F"/>
    <w:rsid w:val="0047645A"/>
    <w:rsid w:val="004D49A3"/>
    <w:rsid w:val="004D50AC"/>
    <w:rsid w:val="004E6E3C"/>
    <w:rsid w:val="005124F1"/>
    <w:rsid w:val="00530BAD"/>
    <w:rsid w:val="00541598"/>
    <w:rsid w:val="00547DB7"/>
    <w:rsid w:val="00567324"/>
    <w:rsid w:val="00585875"/>
    <w:rsid w:val="005B0F49"/>
    <w:rsid w:val="005C7EC6"/>
    <w:rsid w:val="005D4BDB"/>
    <w:rsid w:val="0061611D"/>
    <w:rsid w:val="00622BAA"/>
    <w:rsid w:val="00625C89"/>
    <w:rsid w:val="00633C4F"/>
    <w:rsid w:val="00637091"/>
    <w:rsid w:val="00671BD5"/>
    <w:rsid w:val="00676870"/>
    <w:rsid w:val="006805C1"/>
    <w:rsid w:val="006816EC"/>
    <w:rsid w:val="00694556"/>
    <w:rsid w:val="006E1A53"/>
    <w:rsid w:val="007039E2"/>
    <w:rsid w:val="007056AA"/>
    <w:rsid w:val="00727186"/>
    <w:rsid w:val="00744F41"/>
    <w:rsid w:val="007A0493"/>
    <w:rsid w:val="007A24FE"/>
    <w:rsid w:val="007A35AA"/>
    <w:rsid w:val="007F1048"/>
    <w:rsid w:val="00820005"/>
    <w:rsid w:val="00846D27"/>
    <w:rsid w:val="008610A7"/>
    <w:rsid w:val="008E1332"/>
    <w:rsid w:val="00903896"/>
    <w:rsid w:val="0090625F"/>
    <w:rsid w:val="00927813"/>
    <w:rsid w:val="00944D13"/>
    <w:rsid w:val="00957C90"/>
    <w:rsid w:val="009B70F6"/>
    <w:rsid w:val="009C358E"/>
    <w:rsid w:val="009D5DEB"/>
    <w:rsid w:val="009E0263"/>
    <w:rsid w:val="00A20B9E"/>
    <w:rsid w:val="00A267CF"/>
    <w:rsid w:val="00A342BD"/>
    <w:rsid w:val="00A43458"/>
    <w:rsid w:val="00AB51BD"/>
    <w:rsid w:val="00AC4E19"/>
    <w:rsid w:val="00AF1ED6"/>
    <w:rsid w:val="00B14FCD"/>
    <w:rsid w:val="00B32C61"/>
    <w:rsid w:val="00B34294"/>
    <w:rsid w:val="00B368FE"/>
    <w:rsid w:val="00B80CBD"/>
    <w:rsid w:val="00BC3369"/>
    <w:rsid w:val="00BF77EE"/>
    <w:rsid w:val="00C32E0F"/>
    <w:rsid w:val="00C42BF9"/>
    <w:rsid w:val="00C73B8B"/>
    <w:rsid w:val="00C83E56"/>
    <w:rsid w:val="00CA6349"/>
    <w:rsid w:val="00CC63CE"/>
    <w:rsid w:val="00D03FBA"/>
    <w:rsid w:val="00D319B3"/>
    <w:rsid w:val="00D36A71"/>
    <w:rsid w:val="00D50BD6"/>
    <w:rsid w:val="00D53924"/>
    <w:rsid w:val="00D60849"/>
    <w:rsid w:val="00D76E67"/>
    <w:rsid w:val="00D96D8C"/>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73B8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72134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43B5E"/>
    <w:rsid w:val="00200BA6"/>
    <w:rsid w:val="00833049"/>
    <w:rsid w:val="0083513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יוסף דיין</FullName>
        <FirstName>יוסף</FirstName>
        <LastName>דיין</LastName>
        <PartyPropertyName/>
        <AuthenticationTypeAndNumber>ת"ז 079328381</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247473226</CasePartyID>
        <PartyTypeID>5</PartyTypeID>
        <ActivityStatusID>1</ActivityStatusID>
        <PartyAliasID>102</PartyAliasID>
        <PartyAliasName>מומחה בית משפט</PartyAliasName>
        <LegalEntityID>72883334</LegalEntityID>
        <CaseLegalEntityID>121825325</CaseLegalEntityID>
        <AuthenticationTypeID>1</AuthenticationTypeID>
        <AuthenticationTypeName>ת"ז</AuthenticationTypeName>
        <LegalEntityNumber>079328381</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נתיב הגפן 1/1 ערד </FullAddress>
        <EmailAddress>medanmor@gmail.com</EmailAddress>
        <MotionID>0</MotionID>
        <CasePleaID>0</CasePleaID>
        <FatherName xml:space="preserve">        </FatherName>
        <LinkedCaseID>0</LinkedCaseID>
        <CasePartyCategoryID>1</CasePartyCategoryID>
        <LegalEntityAddressID>86330915</LegalEntityAddressID>
        <LegalEntityEmailAddressID>68173611</LegalEntityEmailAddressID>
        <PleaTypeID>4</PleaTypeID>
        <GroupPartyAlias/>
        <IsConverted>false</IsConverted>
        <LegalEntityNameID>77170290</LegalEntityNameID>
        <RepresentatedNamesOfAssistant/>
        <LegalEntityTypeID>6</LegalEntityTypeID>
        <IsVerdictExists>false</IsVerdictExists>
        <IsAsirAzir>false</IsAsirAzir>
        <MainAndSecSpec/>
        <IsPublicationProhibited>false</IsPublicationProhibited>
        <PublicationProhibitedFullName>יוסף דיין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חברת מבטחים קרן פנסיה קוד 014</FullName>
        <FirstName>חברת מבטחים</FirstName>
        <LastName>קרן פנסיה קוד 014</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242496150</CasePartyID>
        <PartyTypeID>6</PartyTypeID>
        <ActivityStatusID>1</ActivityStatusID>
        <PartyAliasID>103</PartyAliasID>
        <PartyAliasName>מחזיק</PartyAliasName>
        <LegalEntityID>80567262</LegalEntityID>
        <CaseLegalEntityID>120218002</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
        <MotionID>0</MotionID>
        <CasePleaID>0</CasePleaID>
        <LinkedCaseID>0</LinkedCaseID>
        <PartyID>1</PartyID>
        <CasePartyCategoryID>2</CasePartyCategoryID>
        <PleaTypeID>4</PleaTypeID>
        <GroupPartyAlias/>
        <IsConverted>false</IsConverted>
        <LegalEntityNameID>93280044</LegalEntityNameID>
        <RepresentatedNamesOfAssistant/>
        <LegalEntityTypeID>1</LegalEntityTypeID>
        <IsVerdictExists>false</IsVerdictExists>
        <IsAsirAzir>false</IsAsirAzir>
        <MainAndSecSpec/>
        <IsPublicationProhibited>false</IsPublicationProhibited>
        <PublicationProhibitedFullName>חברת מבטחים קרן פנסיה קוד 014</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כהן חנונה</FullName>
        <FirstName>שרית</FirstName>
        <LastName>כהן חנונה</LastName>
        <PartyPropertyName/>
        <AuthenticationTypeAndNumber>מ.ר. 89818</AuthenticationTypeAndNumber>
        <RepresentatedOrRepresentativesNames>משה בונבידה</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240839846</CasePartyID>
        <PartyTypeID>2</PartyTypeID>
        <ActivityStatusID>1</ActivityStatusID>
        <PartyAliasID>21</PartyAliasID>
        <PartyAliasName>בא כוח נתבעים</PartyAliasName>
        <LegalEntityID>79674477</LegalEntityID>
        <CaseLegalEntityID>119712418</CaseLegalEntityID>
        <AuthenticationTypeID>4</AuthenticationTypeID>
        <AuthenticationTypeName>מ.ר.</AuthenticationTypeName>
        <LegalEntityNumber>89818</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עיט 72 באר שבע </FullAddress>
        <EmailAddress>sarit.cohenchen.law@gmail.com</EmailAddress>
        <MotionID>0</MotionID>
        <CasePleaID>0</CasePleaID>
        <LinkedCaseID>0</LinkedCaseID>
        <PartyID>2</PartyID>
        <CasePartyCategoryID>2</CasePartyCategoryID>
        <LegalEntityAddressID>85042907</LegalEntityAddressID>
        <LegalEntityEmailAddressID>68115101</LegalEntityEmailAddressID>
        <PleaTypeID>4</PleaTypeID>
        <LawyerOfficeName>משרד עו"ד שרית כהן חנונה</LawyerOfficeName>
        <LawyerOfficeID>79674478</LawyerOfficeID>
        <GroupPartyAlias/>
        <IsConverted>false</IsConverted>
        <LegalEntityNameID>91188434</LegalEntityNameID>
        <RepresentatedNamesOfAssistant/>
        <LegalEntityTypeID>4</LegalEntityTypeID>
        <IsVerdictExists>false</IsVerdictExists>
        <IsAsirAzir>false</IsAsirAzir>
        <MainAndSecSpec/>
        <IsPublicationProhibited>false</IsPublicationProhibited>
        <PublicationProhibitedFullName>שרית כהן חנונה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בונבידה</FullName>
        <FirstName>אורלי</FirstName>
        <LastName>בונבידה</LastName>
        <PartyPropertyName/>
        <AuthenticationTypeAndNumber>ת"ז 057374324</AuthenticationTypeAndNumber>
        <RepresentatedOrRepresentativesNames>שגית שאמי</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240011979</CasePartyID>
        <PartyTypeID>1</PartyTypeID>
        <ActivityStatusID>1</ActivityStatusID>
        <PartyAliasID>1</PartyAliasID>
        <PartyAliasName>תובע</PartyAliasName>
        <OrdinalNumber>1</OrdinalNumber>
        <LegalEntityID>34445605</LegalEntityID>
        <CaseLegalEntityID>119455661</CaseLegalEntityID>
        <AuthenticationTypeID>1</AuthenticationTypeID>
        <AuthenticationTypeName>ת"ז</AuthenticationTypeName>
        <LegalEntityNumber>057374324</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בית 419 נבטים </FullAddress>
        <MotionID>0</MotionID>
        <CasePleaID>0</CasePleaID>
        <FatherName>יהודה</FatherName>
        <LinkedCaseID>0</LinkedCaseID>
        <PartyID>1</PartyID>
        <CasePartyCategoryID>2</CasePartyCategoryID>
        <LegalEntityAddressID>86417584</LegalEntityAddressID>
        <PleaTypeID>4</PleaTypeID>
        <GroupPartyAlias>תובעים</GroupPartyAlias>
        <IsConverted>false</IsConverted>
        <LegalEntityRegisteredNameID>7016905</LegalEntityRegisteredNameID>
        <LegalEntityNameID>92989968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בונבידה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שגית שאמי</FullName>
        <FirstName>שגית</FirstName>
        <LastName>שאמי</LastName>
        <PartyPropertyName/>
        <AuthenticationTypeAndNumber>מ.ר. 42499</AuthenticationTypeAndNumber>
        <RepresentatedOrRepresentativesNames>אורלי בונבידה</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240011980</CasePartyID>
        <PartyTypeID>2</PartyTypeID>
        <ActivityStatusID>1</ActivityStatusID>
        <PartyAliasID>20</PartyAliasID>
        <PartyAliasName>בא כוח תובעים</PartyAliasName>
        <OrdinalNumber>1</OrdinalNumber>
        <LegalEntityID>2112816</LegalEntityID>
        <CaseLegalEntityID>119455662</CaseLegalEntityID>
        <AuthenticationTypeID>4</AuthenticationTypeID>
        <AuthenticationTypeName>מ.ר.</AuthenticationTypeName>
        <LegalEntityNumber>42499</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הנרייטה סולד 4 באר שבע </FullAddress>
        <MotionID>0</MotionID>
        <CasePleaID>0</CasePleaID>
        <LinkedCaseID>0</LinkedCaseID>
        <PartyID>1</PartyID>
        <CasePartyCategoryID>2</CasePartyCategoryID>
        <LegalEntityAddressID>83629958</LegalEntityAddressID>
        <PleaTypeID>4</PleaTypeID>
        <LawyerOfficeName>משרד עו"ד שגית שאמי</LawyerOfficeName>
        <LawyerOfficeID>2112817</LawyerOfficeID>
        <GroupPartyAlias/>
        <IsConverted>false</IsConverted>
        <LegalEntityNameID>1733645</LegalEntityNameID>
        <RepresentatedNamesOfAssistant/>
        <LegalEntityTypeID>4</LegalEntityTypeID>
        <IsVerdictExists>false</IsVerdictExists>
        <IsAsirAzir>false</IsAsirAzir>
        <MainAndSecSpec/>
        <IsPublicationProhibited>false</IsPublicationProhibited>
        <PublicationProhibitedFullName>שגית שאמי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בונבידה</FullName>
        <FirstName>משה</FirstName>
        <LastName>בונבידה</LastName>
        <PartyPropertyName/>
        <AuthenticationTypeAndNumber>ת"ז 055431837</AuthenticationTypeAndNumber>
        <RepresentatedOrRepresentativesNames>שרית כהן חנונה</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240011981</CasePartyID>
        <PartyTypeID>1</PartyTypeID>
        <ActivityStatusID>1</ActivityStatusID>
        <PartyAliasID>2</PartyAliasID>
        <PartyAliasName>נתבע</PartyAliasName>
        <OrdinalNumber>1</OrdinalNumber>
        <LegalEntityID>76834770</LegalEntityID>
        <CaseLegalEntityID>119455663</CaseLegalEntityID>
        <AuthenticationTypeID>1</AuthenticationTypeID>
        <AuthenticationTypeName>ת"ז</AuthenticationTypeName>
        <LegalEntityNumber>055431837</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419 נבטים </FullAddress>
        <MotionID>0</MotionID>
        <CasePleaID>0</CasePleaID>
        <FatherName>אברהם</FatherName>
        <LinkedCaseID>0</LinkedCaseID>
        <PartyID>2</PartyID>
        <CasePartyCategoryID>2</CasePartyCategoryID>
        <LegalEntityAddressID>86417585</LegalEntityAddressID>
        <PleaTypeID>4</PleaTypeID>
        <GroupPartyAlias>נתבעים</GroupPartyAlias>
        <IsConverted>false</IsConverted>
        <LegalEntityRegisteredNameID>7016906</LegalEntityRegisteredNameID>
        <LegalEntityNameID>92989969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בונבידה</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מגדל -קרן השתלמות 579</FullName>
        <FirstName>מגדל -קרן</FirstName>
        <LastName>השתלמות 579</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242496166</CasePartyID>
        <PartyTypeID>6</PartyTypeID>
        <ActivityStatusID>1</ActivityStatusID>
        <PartyAliasID>103</PartyAliasID>
        <PartyAliasName>מחזיק</PartyAliasName>
        <OrdinalNumber>2</OrdinalNumber>
        <LegalEntityID>80567263</LegalEntityID>
        <CaseLegalEntityID>120218010</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
        <MotionID>0</MotionID>
        <CasePleaID>0</CasePleaID>
        <LinkedCaseID>0</LinkedCaseID>
        <PartyID>1</PartyID>
        <CasePartyCategoryID>2</CasePartyCategoryID>
        <PleaTypeID>4</PleaTypeID>
        <GroupPartyAlias/>
        <IsConverted>false</IsConverted>
        <LegalEntityNameID>93280047</LegalEntityNameID>
        <RepresentatedNamesOfAssistant/>
        <LegalEntityTypeID>1</LegalEntityTypeID>
        <IsVerdictExists>false</IsVerdictExists>
        <IsAsirAzir>false</IsAsirAzir>
        <MainAndSecSpec/>
        <IsPublicationProhibited>false</IsPublicationProhibited>
        <PublicationProhibitedFullName>מגדל -קרן השתלמות 579</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מנורה מבטחים מפעלי ים המלח</FullName>
        <FirstName>מנורה מבטחים</FirstName>
        <LastName>מפעלי ים המלח</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242496254</CasePartyID>
        <PartyTypeID>6</PartyTypeID>
        <ActivityStatusID>1</ActivityStatusID>
        <PartyAliasID>103</PartyAliasID>
        <PartyAliasName>מחזיק</PartyAliasName>
        <OrdinalNumber>3</OrdinalNumber>
        <LegalEntityID>80567265</LegalEntityID>
        <CaseLegalEntityID>120218023</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
        <MotionID>0</MotionID>
        <CasePleaID>0</CasePleaID>
        <LinkedCaseID>0</LinkedCaseID>
        <PartyID>1</PartyID>
        <CasePartyCategoryID>2</CasePartyCategoryID>
        <PleaTypeID>4</PleaTypeID>
        <GroupPartyAlias/>
        <IsConverted>false</IsConverted>
        <LegalEntityNameID>93280051</LegalEntityNameID>
        <RepresentatedNamesOfAssistant/>
        <LegalEntityTypeID>1</LegalEntityTypeID>
        <IsVerdictExists>false</IsVerdictExists>
        <IsAsirAzir>false</IsAsirAzir>
        <MainAndSecSpec/>
        <IsPublicationProhibited>false</IsPublicationProhibited>
        <PublicationProhibitedFullName>מנורה מבטחים מפעלי ים המלח</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משרד התחבורה רישוי</FullName>
        <FirstName>משרד התחבורה</FirstName>
        <LastName>רישוי</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242496368</CasePartyID>
        <PartyTypeID>6</PartyTypeID>
        <ActivityStatusID>1</ActivityStatusID>
        <PartyAliasID>103</PartyAliasID>
        <PartyAliasName>מחזיק</PartyAliasName>
        <OrdinalNumber>4</OrdinalNumber>
        <LegalEntityID>80567266</LegalEntityID>
        <CaseLegalEntityID>120218040</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באר שבע </FullAddress>
        <MotionID>0</MotionID>
        <CasePleaID>0</CasePleaID>
        <LinkedCaseID>0</LinkedCaseID>
        <PartyID>1</PartyID>
        <CasePartyCategoryID>2</CasePartyCategoryID>
        <LegalEntityAddressID>86646558</LegalEntityAddressID>
        <PleaTypeID>4</PleaTypeID>
        <GroupPartyAlias/>
        <IsConverted>false</IsConverted>
        <LegalEntityNameID>93280054</LegalEntityNameID>
        <RepresentatedNamesOfAssistant/>
        <LegalEntityTypeID>1</LegalEntityTypeID>
        <IsVerdictExists>false</IsVerdictExists>
        <IsAsirAzir>false</IsAsirAzir>
        <MainAndSecSpec/>
        <IsPublicationProhibited>false</IsPublicationProhibited>
        <PublicationProhibitedFullName>משרד התחבורה רישוי</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2024-10-31T12:14:38.6905388+02:00</DecisionSignatureDate>
    <OpenCaseDate>2022-04-14T14:33:00+03:00</OpenCaseDate>
    <CaseFeeSum>0.000</CaseFeeSum>
    <DecisionTypeID>2</DecisionTypeID>
    <DecisionSignatureUserName>רותם קודלר עיאש</DecisionSignatureUserName>
    <DecisionSignatureDateHebrew>2024-10-31T12:14:38.6905388+02:00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בונבידה נ' בונבידה</CaseName>
    <DecisionNumberInCase>42</DecisionNumberInCase>
  </dt_Decision>
  <dt_DecisionCase>
    <DecisionID>0</DecisionID>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יוסף דיין</FullName>
        <FirstName>יוסף</FirstName>
        <LastName>דיין</LastName>
        <PartyPropertyName/>
        <AuthenticationTypeAndNumber>ת"ז 079328381</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247473226</CasePartyID>
        <PartyTypeID>5</PartyTypeID>
        <ActivityStatusID>1</ActivityStatusID>
        <PartyAliasID>102</PartyAliasID>
        <PartyAliasName>מומחה בית משפט</PartyAliasName>
        <LegalEntityID>72883334</LegalEntityID>
        <CaseLegalEntityID>121825325</CaseLegalEntityID>
        <AuthenticationTypeID>1</AuthenticationTypeID>
        <AuthenticationTypeName>ת"ז</AuthenticationTypeName>
        <LegalEntityNumber>079328381</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נתיב הגפן 1/1 ערד </FullAddress>
        <EmailAddress>medanmor@gmail.com</EmailAddress>
        <MotionID>0</MotionID>
        <CasePleaID>0</CasePleaID>
        <FatherName xml:space="preserve">        </FatherName>
        <LinkedCaseID>0</LinkedCaseID>
        <CasePartyCategoryID>1</CasePartyCategoryID>
        <LegalEntityAddressID>86330915</LegalEntityAddressID>
        <LegalEntityEmailAddressID>68173611</LegalEntityEmailAddressID>
        <PleaTypeID>4</PleaTypeID>
        <GroupPartyAlias/>
        <IsConverted>false</IsConverted>
        <LegalEntityNameID>77170290</LegalEntityNameID>
        <RepresentatedNamesOfAssistant/>
        <LegalEntityTypeID>6</LegalEntityTypeID>
        <IsVerdictExists>false</IsVerdictExists>
        <IsAsirAzir>false</IsAsirAzir>
        <MainAndSecSpec/>
        <IsPublicationProhibited>false</IsPublicationProhibited>
        <PublicationProhibitedFullName>יוסף דיין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חברת מבטחים קרן פנסיה קוד 014</FullName>
        <FirstName>חברת מבטחים</FirstName>
        <LastName>קרן פנסיה קוד 014</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242496150</CasePartyID>
        <PartyTypeID>6</PartyTypeID>
        <ActivityStatusID>1</ActivityStatusID>
        <PartyAliasID>103</PartyAliasID>
        <PartyAliasName>מחזיק</PartyAliasName>
        <LegalEntityID>80567262</LegalEntityID>
        <CaseLegalEntityID>120218002</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
        <MotionID>0</MotionID>
        <CasePleaID>0</CasePleaID>
        <LinkedCaseID>0</LinkedCaseID>
        <PartyID>1</PartyID>
        <CasePartyCategoryID>2</CasePartyCategoryID>
        <PleaTypeID>4</PleaTypeID>
        <GroupPartyAlias/>
        <IsConverted>false</IsConverted>
        <LegalEntityNameID>93280044</LegalEntityNameID>
        <RepresentatedNamesOfAssistant/>
        <LegalEntityTypeID>1</LegalEntityTypeID>
        <IsVerdictExists>false</IsVerdictExists>
        <IsAsirAzir>false</IsAsirAzir>
        <MainAndSecSpec/>
        <IsPublicationProhibited>false</IsPublicationProhibited>
        <PublicationProhibitedFullName>חברת מבטחים קרן פנסיה קוד 014</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כהן חנונה</FullName>
        <FirstName>שרית</FirstName>
        <LastName>כהן חנונה</LastName>
        <PartyPropertyName/>
        <AuthenticationTypeAndNumber>מ.ר. 89818</AuthenticationTypeAndNumber>
        <RepresentatedOrRepresentativesNames>משה בונבידה</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240839846</CasePartyID>
        <PartyTypeID>2</PartyTypeID>
        <ActivityStatusID>1</ActivityStatusID>
        <PartyAliasID>21</PartyAliasID>
        <PartyAliasName>בא כוח נתבעים</PartyAliasName>
        <LegalEntityID>79674477</LegalEntityID>
        <CaseLegalEntityID>119712418</CaseLegalEntityID>
        <AuthenticationTypeID>4</AuthenticationTypeID>
        <AuthenticationTypeName>מ.ר.</AuthenticationTypeName>
        <LegalEntityNumber>89818</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עיט 72 באר שבע </FullAddress>
        <EmailAddress>sarit.cohenchen.law@gmail.com</EmailAddress>
        <MotionID>0</MotionID>
        <CasePleaID>0</CasePleaID>
        <LinkedCaseID>0</LinkedCaseID>
        <PartyID>2</PartyID>
        <CasePartyCategoryID>2</CasePartyCategoryID>
        <LegalEntityAddressID>85042907</LegalEntityAddressID>
        <LegalEntityEmailAddressID>68115101</LegalEntityEmailAddressID>
        <PleaTypeID>4</PleaTypeID>
        <LawyerOfficeName>משרד עו"ד שרית כהן חנונה</LawyerOfficeName>
        <LawyerOfficeID>79674478</LawyerOfficeID>
        <GroupPartyAlias/>
        <IsConverted>false</IsConverted>
        <LegalEntityNameID>91188434</LegalEntityNameID>
        <RepresentatedNamesOfAssistant/>
        <LegalEntityTypeID>4</LegalEntityTypeID>
        <IsVerdictExists>false</IsVerdictExists>
        <IsAsirAzir>false</IsAsirAzir>
        <MainAndSecSpec/>
        <IsPublicationProhibited>false</IsPublicationProhibited>
        <PublicationProhibitedFullName>שרית כהן חנונה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בונבידה</FullName>
        <FirstName>אורלי</FirstName>
        <LastName>בונבידה</LastName>
        <PartyPropertyName/>
        <AuthenticationTypeAndNumber>ת"ז 057374324</AuthenticationTypeAndNumber>
        <RepresentatedOrRepresentativesNames>שגית שאמי</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240011979</CasePartyID>
        <PartyTypeID>1</PartyTypeID>
        <ActivityStatusID>1</ActivityStatusID>
        <PartyAliasID>1</PartyAliasID>
        <PartyAliasName>תובע</PartyAliasName>
        <OrdinalNumber>1</OrdinalNumber>
        <LegalEntityID>34445605</LegalEntityID>
        <CaseLegalEntityID>119455661</CaseLegalEntityID>
        <AuthenticationTypeID>1</AuthenticationTypeID>
        <AuthenticationTypeName>ת"ז</AuthenticationTypeName>
        <LegalEntityNumber>057374324</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בית 419 נבטים </FullAddress>
        <MotionID>0</MotionID>
        <CasePleaID>0</CasePleaID>
        <FatherName>יהודה</FatherName>
        <LinkedCaseID>0</LinkedCaseID>
        <PartyID>1</PartyID>
        <CasePartyCategoryID>2</CasePartyCategoryID>
        <LegalEntityAddressID>86417584</LegalEntityAddressID>
        <PleaTypeID>4</PleaTypeID>
        <GroupPartyAlias>תובעים</GroupPartyAlias>
        <IsConverted>false</IsConverted>
        <LegalEntityRegisteredNameID>7016905</LegalEntityRegisteredNameID>
        <LegalEntityNameID>92989968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בונבידה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שגית שאמי</FullName>
        <FirstName>שגית</FirstName>
        <LastName>שאמי</LastName>
        <PartyPropertyName/>
        <AuthenticationTypeAndNumber>מ.ר. 42499</AuthenticationTypeAndNumber>
        <RepresentatedOrRepresentativesNames>אורלי בונבידה</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240011980</CasePartyID>
        <PartyTypeID>2</PartyTypeID>
        <ActivityStatusID>1</ActivityStatusID>
        <PartyAliasID>20</PartyAliasID>
        <PartyAliasName>בא כוח תובעים</PartyAliasName>
        <OrdinalNumber>1</OrdinalNumber>
        <LegalEntityID>2112816</LegalEntityID>
        <CaseLegalEntityID>119455662</CaseLegalEntityID>
        <AuthenticationTypeID>4</AuthenticationTypeID>
        <AuthenticationTypeName>מ.ר.</AuthenticationTypeName>
        <LegalEntityNumber>42499</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הנרייטה סולד 4 באר שבע </FullAddress>
        <MotionID>0</MotionID>
        <CasePleaID>0</CasePleaID>
        <LinkedCaseID>0</LinkedCaseID>
        <PartyID>1</PartyID>
        <CasePartyCategoryID>2</CasePartyCategoryID>
        <LegalEntityAddressID>83629958</LegalEntityAddressID>
        <PleaTypeID>4</PleaTypeID>
        <LawyerOfficeName>משרד עו"ד שגית שאמי</LawyerOfficeName>
        <LawyerOfficeID>2112817</LawyerOfficeID>
        <GroupPartyAlias/>
        <IsConverted>false</IsConverted>
        <LegalEntityNameID>1733645</LegalEntityNameID>
        <RepresentatedNamesOfAssistant/>
        <LegalEntityTypeID>4</LegalEntityTypeID>
        <IsVerdictExists>false</IsVerdictExists>
        <IsAsirAzir>false</IsAsirAzir>
        <MainAndSecSpec/>
        <IsPublicationProhibited>false</IsPublicationProhibited>
        <PublicationProhibitedFullName>שגית שאמי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בונבידה</FullName>
        <FirstName>משה</FirstName>
        <LastName>בונבידה</LastName>
        <PartyPropertyName/>
        <AuthenticationTypeAndNumber>ת"ז 055431837</AuthenticationTypeAndNumber>
        <RepresentatedOrRepresentativesNames>שרית כהן חנונה</RepresentatedOrRepresentativesNames>
        <RepresentatedOrRepresentativesCount>1</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240011981</CasePartyID>
        <PartyTypeID>1</PartyTypeID>
        <ActivityStatusID>1</ActivityStatusID>
        <PartyAliasID>2</PartyAliasID>
        <PartyAliasName>נתבע</PartyAliasName>
        <OrdinalNumber>1</OrdinalNumber>
        <LegalEntityID>76834770</LegalEntityID>
        <CaseLegalEntityID>119455663</CaseLegalEntityID>
        <AuthenticationTypeID>1</AuthenticationTypeID>
        <AuthenticationTypeName>ת"ז</AuthenticationTypeName>
        <LegalEntityNumber>055431837</LegalEntityNumber>
        <IsMainPartyType>true</IsMainPartyType>
        <CaseDisplayIdentifier>30514-04-22</CaseDisplayIdentifier>
        <CaseTypeID>10262</CaseTypeID>
        <CaseTypeName>תביעה לאחר הסדר התדיינויות במשפחה (תלה"מ)</CaseTypeName>
        <CaseName>בונבידה נ' בונבידה</CaseName>
        <FullAddress>419 נבטים </FullAddress>
        <MotionID>0</MotionID>
        <CasePleaID>0</CasePleaID>
        <FatherName>אברהם</FatherName>
        <LinkedCaseID>0</LinkedCaseID>
        <PartyID>2</PartyID>
        <CasePartyCategoryID>2</CasePartyCategoryID>
        <LegalEntityAddressID>86417585</LegalEntityAddressID>
        <PleaTypeID>4</PleaTypeID>
        <GroupPartyAlias>נתבעים</GroupPartyAlias>
        <IsConverted>false</IsConverted>
        <LegalEntityRegisteredNameID>7016906</LegalEntityRegisteredNameID>
        <LegalEntityNameID>92989969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בונבידה</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מגדל -קרן השתלמות 579</FullName>
        <FirstName>מגדל -קרן</FirstName>
        <LastName>השתלמות 579</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242496166</CasePartyID>
        <PartyTypeID>6</PartyTypeID>
        <ActivityStatusID>1</ActivityStatusID>
        <PartyAliasID>103</PartyAliasID>
        <PartyAliasName>מחזיק</PartyAliasName>
        <OrdinalNumber>2</OrdinalNumber>
        <LegalEntityID>80567263</LegalEntityID>
        <CaseLegalEntityID>120218010</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
        <MotionID>0</MotionID>
        <CasePleaID>0</CasePleaID>
        <LinkedCaseID>0</LinkedCaseID>
        <PartyID>1</PartyID>
        <CasePartyCategoryID>2</CasePartyCategoryID>
        <PleaTypeID>4</PleaTypeID>
        <GroupPartyAlias/>
        <IsConverted>false</IsConverted>
        <LegalEntityNameID>93280047</LegalEntityNameID>
        <RepresentatedNamesOfAssistant/>
        <LegalEntityTypeID>1</LegalEntityTypeID>
        <IsVerdictExists>false</IsVerdictExists>
        <IsAsirAzir>false</IsAsirAzir>
        <MainAndSecSpec/>
        <IsPublicationProhibited>false</IsPublicationProhibited>
        <PublicationProhibitedFullName>מגדל -קרן השתלמות 579</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מנורה מבטחים מפעלי ים המלח</FullName>
        <FirstName>מנורה מבטחים</FirstName>
        <LastName>מפעלי ים המלח</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242496254</CasePartyID>
        <PartyTypeID>6</PartyTypeID>
        <ActivityStatusID>1</ActivityStatusID>
        <PartyAliasID>103</PartyAliasID>
        <PartyAliasName>מחזיק</PartyAliasName>
        <OrdinalNumber>3</OrdinalNumber>
        <LegalEntityID>80567265</LegalEntityID>
        <CaseLegalEntityID>120218023</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
        <MotionID>0</MotionID>
        <CasePleaID>0</CasePleaID>
        <LinkedCaseID>0</LinkedCaseID>
        <PartyID>1</PartyID>
        <CasePartyCategoryID>2</CasePartyCategoryID>
        <PleaTypeID>4</PleaTypeID>
        <GroupPartyAlias/>
        <IsConverted>false</IsConverted>
        <LegalEntityNameID>93280051</LegalEntityNameID>
        <RepresentatedNamesOfAssistant/>
        <LegalEntityTypeID>1</LegalEntityTypeID>
        <IsVerdictExists>false</IsVerdictExists>
        <IsAsirAzir>false</IsAsirAzir>
        <MainAndSecSpec/>
        <IsPublicationProhibited>false</IsPublicationProhibited>
        <PublicationProhibitedFullName>מנורה מבטחים מפעלי ים המלח</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משרד התחבורה רישוי</FullName>
        <FirstName>משרד התחבורה</FirstName>
        <LastName>רישוי</LastName>
        <PartyPropertyName/>
        <AuthenticationTypeAndNumber>ת"ז </AuthenticationTypeAndNumber>
        <RepresentatedOrRepresentativesNames/>
        <RepresentatedOrRepresentativesCount>0</RepresentatedOrRepresentativesCount>
        <InvitedBy/>
        <CaseID>79209694</CaseID>
        <CaseJudicialPersonPresentationDS>
          <CaseJudicalPersonActive>
            <CaseID>79209694</CaseID>
            <JudicialPersonID>025596065@GOV.IL</JudicialPersonID>
            <JudicialPersonTypeID>1</JudicialPersonTypeID>
            <JudicialTypeID>1</JudicialTypeID>
            <IsChairman>false</IsChairman>
            <TreatmentStartDate>2022-04-14T14:36:46.097+03:00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242496368</CasePartyID>
        <PartyTypeID>6</PartyTypeID>
        <ActivityStatusID>1</ActivityStatusID>
        <PartyAliasID>103</PartyAliasID>
        <PartyAliasName>מחזיק</PartyAliasName>
        <OrdinalNumber>4</OrdinalNumber>
        <LegalEntityID>80567266</LegalEntityID>
        <CaseLegalEntityID>120218040</CaseLegalEntityID>
        <AuthenticationTypeID>1</AuthenticationTypeID>
        <AuthenticationTypeName>ת"ז</AuthenticationTypeName>
        <IsMainPartyType>true</IsMainPartyType>
        <CaseDisplayIdentifier>30514-04-22</CaseDisplayIdentifier>
        <CaseTypeID>10262</CaseTypeID>
        <CaseTypeName>תביעה לאחר הסדר התדיינויות במשפחה (תלה"מ)</CaseTypeName>
        <CaseName>בונבידה נ' בונבידה</CaseName>
        <FullAddress>באר שבע </FullAddress>
        <MotionID>0</MotionID>
        <CasePleaID>0</CasePleaID>
        <LinkedCaseID>0</LinkedCaseID>
        <PartyID>1</PartyID>
        <CasePartyCategoryID>2</CasePartyCategoryID>
        <LegalEntityAddressID>86646558</LegalEntityAddressID>
        <PleaTypeID>4</PleaTypeID>
        <GroupPartyAlias/>
        <IsConverted>false</IsConverted>
        <LegalEntityNameID>93280054</LegalEntityNameID>
        <RepresentatedNamesOfAssistant/>
        <LegalEntityTypeID>1</LegalEntityTypeID>
        <IsVerdictExists>false</IsVerdictExists>
        <IsAsirAzir>false</IsAsirAzir>
        <MainAndSecSpec/>
        <IsPublicationProhibited>false</IsPublicationProhibited>
        <PublicationProhibitedFullName>משרד התחבורה רישוי</PublicationProhibitedFullName>
      </CaseParties>
    </CasePartiesSelectionDS>
    <CaseName>בונבידה נ' בונבידה</CaseName>
    <CaseDisplayIdentifier>30514-04-22</CaseDisplayIdentifier>
    <CaseInterestID>10513</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PartyID>2</PartyID>
    <PartyTypeID>2</PartyTypeID>
    <DecisionID>0</DecisionID>
    <StreetName>עיט 72</StreetName>
    <ZipCode>8465811</ZipCode>
    <CityName>באר שבע</CityName>
    <FullName>שרית כהן חנונה</FullName>
    <Email>sarit.cohenchen.law@gmail.com</Email>
    <IsPublicationProhibited>false</IsPublicationProhibited>
  </dt_LegalEntityDetails>
  <dt_LegalEntityDetails>
    <PartyID>1</PartyID>
    <PartyTypeID>6</PartyTypeID>
    <DecisionID>0</DecisionID>
    <IsPublicationProhibited>false</IsPublicationProhibited>
  </dt_LegalEntityDetails>
  <dt_LegalEntityDetails>
    <PartyTypeID>5</PartyTypeID>
    <DecisionID>0</DecisionID>
    <StreetName>נתיב הגפן 1/1</StreetName>
    <ZipCode>8905001</ZipCode>
    <CityName>ערד</CityName>
    <FullName>יוסף  דיין </FullName>
    <Email>medanmor@gmail.com</Email>
    <IsPublicationProhibited>false</IsPublicationProhibited>
  </dt_LegalEntityDetails>
  <dt_LegalEntityDetails>
    <PartyID>1</PartyID>
    <PartyTypeID>1</PartyTypeID>
    <DecisionID>0</DecisionID>
    <StreetName>בית 419</StreetName>
    <CityName>נבטים</CityName>
    <FullName>אורלי  בונבידה</FullName>
    <IsPublicationProhibited>false</IsPublicationProhibited>
  </dt_LegalEntityDetails>
  <dt_LegalEntityDetails>
    <Fax>08-6232153</Fax>
    <Phone>077-6232153</Phone>
    <PartyID>1</PartyID>
    <PartyTypeID>2</PartyTypeID>
    <DecisionID>0</DecisionID>
    <StreetName>הנרייטה סולד 4</StreetName>
    <CityName>באר שבע</CityName>
    <FullName>שגית שאמי</FullName>
    <Email>sagit223@hotmail.com</Email>
    <IsPublicationProhibited>false</IsPublicationProhibited>
  </dt_LegalEntityDetails>
  <dt_LegalEntityDetails>
    <PartyID>2</PartyID>
    <PartyTypeID>1</PartyTypeID>
    <DecisionID>0</DecisionID>
    <StreetName>419</StreetName>
    <CityName>נבטים</CityName>
    <FullName>משה  בונבידה</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סגנית הנשיא רותם קודלר עיאש</CaseJudicalPerson>
  </dt_CaseJudicalPersonActive>
  <dt_Sitting>
    <PreviousMeetingDate>2024-06-18T12:00:00+03:00</PreviousMeetingDate>
    <PreviousSittingTypeID>2</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Props1.xml><?xml version="1.0" encoding="utf-8"?>
<ds:datastoreItem xmlns:ds="http://schemas.openxmlformats.org/officeDocument/2006/customXml" ds:itemID="{6BA93A73-2F9D-41FE-A61B-111A4A36D19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800</Words>
  <Characters>4005</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2024-11-03T08:34:00Z</dcterms:created>
  <dcterms:modified xsi:type="dcterms:W3CDTF">2024-11-03T08:34:00Z</dcterms:modified>
</cp:coreProperties>
</file>